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141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41" w:beforeAutospacing="0" w:after="141" w:afterAutospacing="0" w:line="300" w:lineRule="exact"/>
        <w:ind w:left="0" w:right="0" w:firstLine="0"/>
        <w:jc w:val="center"/>
        <w:textAlignment w:val="auto"/>
        <w:rPr>
          <w:rFonts w:hint="eastAsia" w:ascii="宋体" w:hAnsi="宋体" w:eastAsia="宋体" w:cs="宋体"/>
          <w:b/>
          <w:bCs/>
          <w:i w:val="0"/>
          <w:iCs w:val="0"/>
          <w:caps w:val="0"/>
          <w:color w:val="333333"/>
          <w:spacing w:val="0"/>
          <w:sz w:val="36"/>
          <w:szCs w:val="36"/>
          <w:shd w:val="clear" w:color="auto" w:fill="FFFFFF"/>
          <w:lang w:eastAsia="zh-CN"/>
        </w:rPr>
      </w:pPr>
      <w:bookmarkStart w:id="0" w:name="_GoBack"/>
      <w:bookmarkEnd w:id="0"/>
      <w:r>
        <w:rPr>
          <w:rFonts w:hint="eastAsia" w:cs="宋体"/>
          <w:b/>
          <w:bCs/>
          <w:i w:val="0"/>
          <w:iCs w:val="0"/>
          <w:caps w:val="0"/>
          <w:color w:val="333333"/>
          <w:spacing w:val="0"/>
          <w:sz w:val="36"/>
          <w:szCs w:val="36"/>
          <w:shd w:val="clear" w:color="auto" w:fill="FFFFFF"/>
          <w:lang w:eastAsia="zh-CN"/>
        </w:rPr>
        <w:t>晋城市</w:t>
      </w:r>
      <w:r>
        <w:rPr>
          <w:rFonts w:hint="eastAsia" w:ascii="宋体" w:hAnsi="宋体" w:eastAsia="宋体" w:cs="宋体"/>
          <w:b/>
          <w:bCs/>
          <w:i w:val="0"/>
          <w:iCs w:val="0"/>
          <w:caps w:val="0"/>
          <w:color w:val="333333"/>
          <w:spacing w:val="0"/>
          <w:sz w:val="36"/>
          <w:szCs w:val="36"/>
          <w:shd w:val="clear" w:color="auto" w:fill="FFFFFF"/>
        </w:rPr>
        <w:t>医疗器械网络销售</w:t>
      </w:r>
      <w:r>
        <w:rPr>
          <w:rFonts w:hint="eastAsia" w:cs="宋体"/>
          <w:b/>
          <w:bCs/>
          <w:i w:val="0"/>
          <w:iCs w:val="0"/>
          <w:caps w:val="0"/>
          <w:color w:val="333333"/>
          <w:spacing w:val="0"/>
          <w:sz w:val="36"/>
          <w:szCs w:val="36"/>
          <w:shd w:val="clear" w:color="auto" w:fill="FFFFFF"/>
          <w:lang w:eastAsia="zh-CN"/>
        </w:rPr>
        <w:t>告知</w:t>
      </w:r>
      <w:r>
        <w:rPr>
          <w:rFonts w:hint="eastAsia" w:ascii="宋体" w:hAnsi="宋体" w:eastAsia="宋体" w:cs="宋体"/>
          <w:b/>
          <w:bCs/>
          <w:i w:val="0"/>
          <w:iCs w:val="0"/>
          <w:caps w:val="0"/>
          <w:color w:val="333333"/>
          <w:spacing w:val="0"/>
          <w:sz w:val="36"/>
          <w:szCs w:val="36"/>
          <w:shd w:val="clear" w:color="auto" w:fill="FFFFFF"/>
        </w:rPr>
        <w:t>公告</w:t>
      </w:r>
      <w:r>
        <w:rPr>
          <w:rFonts w:hint="eastAsia" w:cs="宋体"/>
          <w:b/>
          <w:bCs/>
          <w:i w:val="0"/>
          <w:iCs w:val="0"/>
          <w:caps w:val="0"/>
          <w:color w:val="333333"/>
          <w:spacing w:val="0"/>
          <w:sz w:val="36"/>
          <w:szCs w:val="36"/>
          <w:shd w:val="clear" w:color="auto" w:fill="FFFFFF"/>
          <w:lang w:eastAsia="zh-CN"/>
        </w:rPr>
        <w:t>（三）</w:t>
      </w:r>
    </w:p>
    <w:p w14:paraId="6C41F71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rPr>
      </w:pPr>
      <w:r>
        <w:rPr>
          <w:rFonts w:hint="eastAsia" w:ascii="宋体" w:hAnsi="宋体" w:cs="宋体"/>
          <w:i w:val="0"/>
          <w:iCs w:val="0"/>
          <w:caps w:val="0"/>
          <w:color w:val="000000"/>
          <w:spacing w:val="0"/>
          <w:kern w:val="0"/>
          <w:sz w:val="32"/>
          <w:szCs w:val="32"/>
          <w:shd w:val="clear" w:color="auto" w:fill="FFFFFF"/>
          <w:lang w:val="en-US" w:eastAsia="zh-CN" w:bidi="ar"/>
        </w:rPr>
        <w:t>（</w:t>
      </w:r>
      <w:r>
        <w:rPr>
          <w:rFonts w:hint="eastAsia" w:ascii="宋体" w:hAnsi="宋体" w:eastAsia="宋体" w:cs="宋体"/>
          <w:i w:val="0"/>
          <w:iCs w:val="0"/>
          <w:caps w:val="0"/>
          <w:color w:val="000000"/>
          <w:spacing w:val="0"/>
          <w:kern w:val="0"/>
          <w:sz w:val="32"/>
          <w:szCs w:val="32"/>
          <w:shd w:val="clear" w:color="auto" w:fill="FFFFFF"/>
          <w:lang w:val="en-US" w:eastAsia="zh-CN" w:bidi="ar"/>
        </w:rPr>
        <w:t>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20</w:t>
      </w:r>
      <w:r>
        <w:rPr>
          <w:rFonts w:hint="eastAsia" w:ascii="宋体" w:hAnsi="宋体" w:eastAsia="宋体" w:cs="宋体"/>
          <w:i w:val="0"/>
          <w:iCs w:val="0"/>
          <w:caps w:val="0"/>
          <w:color w:val="000000"/>
          <w:spacing w:val="0"/>
          <w:kern w:val="0"/>
          <w:sz w:val="32"/>
          <w:szCs w:val="32"/>
          <w:shd w:val="clear" w:color="auto" w:fill="FFFFFF"/>
          <w:lang w:val="en-US" w:eastAsia="zh-CN" w:bidi="ar"/>
        </w:rPr>
        <w:t>-2026.</w:t>
      </w:r>
      <w:r>
        <w:rPr>
          <w:rFonts w:hint="eastAsia" w:ascii="宋体" w:hAnsi="宋体" w:cs="宋体"/>
          <w:i w:val="0"/>
          <w:iCs w:val="0"/>
          <w:caps w:val="0"/>
          <w:color w:val="000000"/>
          <w:spacing w:val="0"/>
          <w:kern w:val="0"/>
          <w:sz w:val="32"/>
          <w:szCs w:val="32"/>
          <w:shd w:val="clear" w:color="auto" w:fill="FFFFFF"/>
          <w:lang w:val="en-US" w:eastAsia="zh-CN" w:bidi="ar"/>
        </w:rPr>
        <w:t>0</w:t>
      </w:r>
      <w:r>
        <w:rPr>
          <w:rFonts w:hint="eastAsia" w:ascii="宋体" w:hAnsi="宋体" w:eastAsia="宋体" w:cs="宋体"/>
          <w:i w:val="0"/>
          <w:iCs w:val="0"/>
          <w:caps w:val="0"/>
          <w:color w:val="000000"/>
          <w:spacing w:val="0"/>
          <w:kern w:val="0"/>
          <w:sz w:val="32"/>
          <w:szCs w:val="32"/>
          <w:shd w:val="clear" w:color="auto" w:fill="FFFFFF"/>
          <w:lang w:val="en-US" w:eastAsia="zh-CN" w:bidi="ar"/>
        </w:rPr>
        <w:t>4.</w:t>
      </w:r>
      <w:r>
        <w:rPr>
          <w:rFonts w:hint="eastAsia" w:ascii="宋体" w:hAnsi="宋体" w:cs="宋体"/>
          <w:i w:val="0"/>
          <w:iCs w:val="0"/>
          <w:caps w:val="0"/>
          <w:color w:val="000000"/>
          <w:spacing w:val="0"/>
          <w:kern w:val="0"/>
          <w:sz w:val="32"/>
          <w:szCs w:val="32"/>
          <w:shd w:val="clear" w:color="auto" w:fill="FFFFFF"/>
          <w:lang w:val="en-US" w:eastAsia="zh-CN" w:bidi="ar"/>
        </w:rPr>
        <w:t>26）</w:t>
      </w:r>
    </w:p>
    <w:p w14:paraId="31773DC9">
      <w:pPr>
        <w:keepNext w:val="0"/>
        <w:keepLines w:val="0"/>
        <w:pageBreakBefore w:val="0"/>
        <w:widowControl/>
        <w:suppressLineNumbers w:val="0"/>
        <w:kinsoku/>
        <w:wordWrap/>
        <w:overflowPunct/>
        <w:topLinePunct w:val="0"/>
        <w:autoSpaceDE/>
        <w:autoSpaceDN/>
        <w:bidi w:val="0"/>
        <w:adjustRightInd/>
        <w:snapToGrid/>
        <w:spacing w:line="300" w:lineRule="exact"/>
        <w:ind w:firstLine="560" w:firstLineChars="200"/>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依据《医疗器械监督管理条例》《医疗器械网络销售监督管理办法》《山西省药品监督管理局办公室关于依法开展医疗器械网络销售告知管理工作的通知》（晋药监办审函〔2026〕14号）规定，现将医疗器械网络销售告知情况公布如下，请社会各界予以监督。</w:t>
      </w: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br w:type="textWrapping"/>
      </w:r>
      <w:r>
        <w:rPr>
          <w:rFonts w:hint="eastAsia" w:ascii="华文仿宋" w:hAnsi="华文仿宋" w:eastAsia="华文仿宋" w:cs="华文仿宋"/>
          <w:i w:val="0"/>
          <w:iCs w:val="0"/>
          <w:caps w:val="0"/>
          <w:color w:val="000000"/>
          <w:spacing w:val="0"/>
          <w:kern w:val="0"/>
          <w:sz w:val="28"/>
          <w:szCs w:val="28"/>
          <w:shd w:val="clear" w:color="auto" w:fill="FFFFFF"/>
          <w:lang w:val="en-US" w:eastAsia="zh-CN" w:bidi="ar"/>
        </w:rPr>
        <w:t>     特此公告。 </w:t>
      </w:r>
    </w:p>
    <w:tbl>
      <w:tblPr>
        <w:tblStyle w:val="3"/>
        <w:tblW w:w="13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64"/>
        <w:gridCol w:w="952"/>
        <w:gridCol w:w="782"/>
        <w:gridCol w:w="875"/>
        <w:gridCol w:w="906"/>
        <w:gridCol w:w="3522"/>
        <w:gridCol w:w="1399"/>
        <w:gridCol w:w="1012"/>
        <w:gridCol w:w="1047"/>
        <w:gridCol w:w="1439"/>
        <w:gridCol w:w="1036"/>
      </w:tblGrid>
      <w:tr w14:paraId="62ED7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2" w:hRule="atLeast"/>
        </w:trPr>
        <w:tc>
          <w:tcPr>
            <w:tcW w:w="66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0E45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kern w:val="0"/>
                <w:sz w:val="15"/>
                <w:szCs w:val="15"/>
                <w:u w:val="none"/>
                <w:lang w:val="en-US" w:eastAsia="zh-CN" w:bidi="ar"/>
              </w:rPr>
            </w:pPr>
            <w:r>
              <w:rPr>
                <w:rFonts w:hint="eastAsia" w:ascii="宋体" w:hAnsi="宋体" w:eastAsia="宋体" w:cs="宋体"/>
                <w:i w:val="0"/>
                <w:iCs w:val="0"/>
                <w:caps w:val="0"/>
                <w:color w:val="000000"/>
                <w:spacing w:val="0"/>
                <w:kern w:val="0"/>
                <w:sz w:val="15"/>
                <w:szCs w:val="15"/>
                <w:u w:val="none"/>
                <w:lang w:val="en-US" w:eastAsia="zh-CN" w:bidi="ar"/>
              </w:rPr>
              <w:t>序号</w:t>
            </w:r>
          </w:p>
        </w:tc>
        <w:tc>
          <w:tcPr>
            <w:tcW w:w="95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71BBD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网络销售类型</w:t>
            </w:r>
          </w:p>
        </w:tc>
        <w:tc>
          <w:tcPr>
            <w:tcW w:w="78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1290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企业名称</w:t>
            </w:r>
          </w:p>
        </w:tc>
        <w:tc>
          <w:tcPr>
            <w:tcW w:w="87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6E05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经营场所或生产场所</w:t>
            </w:r>
          </w:p>
        </w:tc>
        <w:tc>
          <w:tcPr>
            <w:tcW w:w="906"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14DB2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主体业态</w:t>
            </w:r>
          </w:p>
        </w:tc>
        <w:tc>
          <w:tcPr>
            <w:tcW w:w="352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3B3A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经营范围</w:t>
            </w:r>
          </w:p>
        </w:tc>
        <w:tc>
          <w:tcPr>
            <w:tcW w:w="139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FEA3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法定代表人</w:t>
            </w:r>
          </w:p>
        </w:tc>
        <w:tc>
          <w:tcPr>
            <w:tcW w:w="101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F339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入驻平台名称</w:t>
            </w: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9893F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入驻平台备案凭证编号</w:t>
            </w:r>
          </w:p>
        </w:tc>
        <w:tc>
          <w:tcPr>
            <w:tcW w:w="143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65357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备案日期</w:t>
            </w:r>
          </w:p>
        </w:tc>
        <w:tc>
          <w:tcPr>
            <w:tcW w:w="1036"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6754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left"/>
              <w:textAlignment w:val="center"/>
              <w:rPr>
                <w:rFonts w:hint="eastAsia" w:ascii="宋体" w:hAnsi="宋体" w:eastAsia="宋体" w:cs="宋体"/>
                <w:i w:val="0"/>
                <w:iCs w:val="0"/>
                <w:caps w:val="0"/>
                <w:color w:val="000000"/>
                <w:spacing w:val="0"/>
                <w:sz w:val="15"/>
                <w:szCs w:val="15"/>
                <w:u w:val="none"/>
              </w:rPr>
            </w:pPr>
            <w:r>
              <w:rPr>
                <w:rFonts w:hint="eastAsia" w:ascii="宋体" w:hAnsi="宋体" w:eastAsia="宋体" w:cs="宋体"/>
                <w:i w:val="0"/>
                <w:iCs w:val="0"/>
                <w:caps w:val="0"/>
                <w:color w:val="000000"/>
                <w:spacing w:val="0"/>
                <w:kern w:val="0"/>
                <w:sz w:val="15"/>
                <w:szCs w:val="15"/>
                <w:u w:val="none"/>
                <w:lang w:val="en-US" w:eastAsia="zh-CN" w:bidi="ar"/>
              </w:rPr>
              <w:t>备注</w:t>
            </w:r>
          </w:p>
        </w:tc>
      </w:tr>
      <w:tr w14:paraId="1548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55" w:hRule="atLeast"/>
        </w:trPr>
        <w:tc>
          <w:tcPr>
            <w:tcW w:w="664"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039525CE">
            <w:pPr>
              <w:keepNext w:val="0"/>
              <w:keepLines w:val="0"/>
              <w:pageBreakBefore w:val="0"/>
              <w:kinsoku/>
              <w:wordWrap/>
              <w:overflowPunct/>
              <w:topLinePunct w:val="0"/>
              <w:autoSpaceDE/>
              <w:autoSpaceDN/>
              <w:bidi w:val="0"/>
              <w:adjustRightInd/>
              <w:snapToGrid/>
              <w:spacing w:line="200" w:lineRule="exact"/>
              <w:jc w:val="left"/>
              <w:rPr>
                <w:rFonts w:hint="default" w:ascii="Times New Roman" w:hAnsi="Times New Roman" w:eastAsia="宋体" w:cs="Times New Roman"/>
                <w:i w:val="0"/>
                <w:iCs w:val="0"/>
                <w:caps w:val="0"/>
                <w:color w:val="000000"/>
                <w:spacing w:val="0"/>
                <w:sz w:val="15"/>
                <w:szCs w:val="15"/>
                <w:u w:val="none"/>
                <w:lang w:val="en-US" w:eastAsia="zh-CN"/>
              </w:rPr>
            </w:pPr>
            <w:r>
              <w:rPr>
                <w:rFonts w:hint="eastAsia" w:ascii="Times New Roman" w:hAnsi="Times New Roman" w:cs="Times New Roman"/>
                <w:i w:val="0"/>
                <w:iCs w:val="0"/>
                <w:caps w:val="0"/>
                <w:color w:val="000000"/>
                <w:spacing w:val="0"/>
                <w:sz w:val="15"/>
                <w:szCs w:val="15"/>
                <w:u w:val="none"/>
                <w:lang w:val="en-US" w:eastAsia="zh-CN"/>
              </w:rPr>
              <w:t>1</w:t>
            </w:r>
          </w:p>
        </w:tc>
        <w:tc>
          <w:tcPr>
            <w:tcW w:w="95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1094212">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宋体" w:hAnsi="宋体" w:eastAsia="宋体" w:cs="宋体"/>
                <w:i w:val="0"/>
                <w:iCs w:val="0"/>
                <w:caps w:val="0"/>
                <w:color w:val="000000"/>
                <w:spacing w:val="0"/>
                <w:kern w:val="0"/>
                <w:sz w:val="15"/>
                <w:szCs w:val="15"/>
                <w:shd w:val="clear" w:color="auto" w:fill="FFFFFF"/>
                <w:lang w:val="en-US" w:eastAsia="zh-CN" w:bidi="ar"/>
              </w:rPr>
            </w:pPr>
            <w:r>
              <w:rPr>
                <w:rFonts w:hint="eastAsia" w:ascii="宋体" w:hAnsi="宋体" w:eastAsia="宋体" w:cs="宋体"/>
                <w:i w:val="0"/>
                <w:iCs w:val="0"/>
                <w:caps w:val="0"/>
                <w:color w:val="000000"/>
                <w:spacing w:val="0"/>
                <w:kern w:val="0"/>
                <w:sz w:val="15"/>
                <w:szCs w:val="15"/>
                <w:shd w:val="clear" w:color="auto" w:fill="FFFFFF"/>
                <w:lang w:val="en-US" w:eastAsia="zh-CN" w:bidi="ar"/>
              </w:rPr>
              <w:t>入驻类</w:t>
            </w:r>
          </w:p>
        </w:tc>
        <w:tc>
          <w:tcPr>
            <w:tcW w:w="78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5EA23210">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r>
              <w:rPr>
                <w:rFonts w:hint="default" w:ascii="宋体" w:hAnsi="宋体" w:eastAsia="宋体" w:cs="宋体"/>
                <w:i w:val="0"/>
                <w:iCs w:val="0"/>
                <w:caps w:val="0"/>
                <w:color w:val="000000"/>
                <w:spacing w:val="0"/>
                <w:kern w:val="0"/>
                <w:sz w:val="15"/>
                <w:szCs w:val="15"/>
                <w:shd w:val="clear" w:color="auto" w:fill="FFFFFF"/>
                <w:lang w:val="en-US" w:eastAsia="zh-CN" w:bidi="ar"/>
              </w:rPr>
              <w:tab/>
            </w:r>
          </w:p>
          <w:p w14:paraId="0293AA06">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r>
              <w:rPr>
                <w:rFonts w:hint="default" w:ascii="宋体" w:hAnsi="宋体" w:eastAsia="宋体" w:cs="宋体"/>
                <w:i w:val="0"/>
                <w:iCs w:val="0"/>
                <w:caps w:val="0"/>
                <w:color w:val="000000"/>
                <w:spacing w:val="0"/>
                <w:kern w:val="0"/>
                <w:sz w:val="15"/>
                <w:szCs w:val="15"/>
                <w:shd w:val="clear" w:color="auto" w:fill="FFFFFF"/>
                <w:lang w:val="en-US" w:eastAsia="zh-CN" w:bidi="ar"/>
              </w:rPr>
              <w:t>泽州保一和大药房有限公司</w:t>
            </w:r>
          </w:p>
        </w:tc>
        <w:tc>
          <w:tcPr>
            <w:tcW w:w="875"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6944CEA">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r>
              <w:rPr>
                <w:rFonts w:hint="default" w:ascii="宋体" w:hAnsi="宋体" w:eastAsia="宋体" w:cs="宋体"/>
                <w:i w:val="0"/>
                <w:iCs w:val="0"/>
                <w:caps w:val="0"/>
                <w:color w:val="000000"/>
                <w:spacing w:val="0"/>
                <w:kern w:val="0"/>
                <w:sz w:val="15"/>
                <w:szCs w:val="15"/>
                <w:shd w:val="clear" w:color="auto" w:fill="FFFFFF"/>
                <w:lang w:val="en-US" w:eastAsia="zh-CN" w:bidi="ar"/>
              </w:rPr>
              <w:t>山西省晋城市泽州县金村镇新晋路与太岳街交汇处东北角碧桂园一期门面房1幢1层109号</w:t>
            </w:r>
          </w:p>
        </w:tc>
        <w:tc>
          <w:tcPr>
            <w:tcW w:w="906"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3AD351B">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eastAsia" w:ascii="宋体" w:hAnsi="宋体" w:eastAsia="宋体" w:cs="宋体"/>
                <w:i w:val="0"/>
                <w:iCs w:val="0"/>
                <w:caps w:val="0"/>
                <w:color w:val="000000"/>
                <w:spacing w:val="0"/>
                <w:kern w:val="0"/>
                <w:sz w:val="15"/>
                <w:szCs w:val="15"/>
                <w:shd w:val="clear" w:color="auto" w:fill="FFFFFF"/>
                <w:lang w:val="en-US" w:eastAsia="zh-CN" w:bidi="ar"/>
              </w:rPr>
            </w:pPr>
            <w:r>
              <w:rPr>
                <w:rFonts w:hint="eastAsia" w:ascii="宋体" w:hAnsi="宋体" w:eastAsia="宋体" w:cs="宋体"/>
                <w:i w:val="0"/>
                <w:iCs w:val="0"/>
                <w:caps w:val="0"/>
                <w:color w:val="000000"/>
                <w:spacing w:val="0"/>
                <w:kern w:val="0"/>
                <w:sz w:val="15"/>
                <w:szCs w:val="15"/>
                <w:shd w:val="clear" w:color="auto" w:fill="FFFFFF"/>
                <w:lang w:val="en-US" w:eastAsia="zh-CN" w:bidi="ar"/>
              </w:rPr>
              <w:t>医疗器械零售</w:t>
            </w:r>
          </w:p>
        </w:tc>
        <w:tc>
          <w:tcPr>
            <w:tcW w:w="352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2B810D1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00" w:lineRule="exact"/>
              <w:jc w:val="left"/>
              <w:textAlignment w:val="auto"/>
              <w:rPr>
                <w:rFonts w:hint="eastAsia" w:ascii="宋体" w:hAnsi="宋体" w:eastAsia="宋体" w:cs="宋体"/>
                <w:i w:val="0"/>
                <w:iCs w:val="0"/>
                <w:caps w:val="0"/>
                <w:color w:val="000000"/>
                <w:spacing w:val="0"/>
                <w:kern w:val="0"/>
                <w:sz w:val="15"/>
                <w:szCs w:val="15"/>
                <w:shd w:val="clear" w:color="auto" w:fill="FFFFFF"/>
                <w:lang w:val="en-US" w:eastAsia="zh-CN" w:bidi="ar"/>
              </w:rPr>
            </w:pPr>
            <w:r>
              <w:rPr>
                <w:rFonts w:hint="eastAsia" w:ascii="宋体" w:hAnsi="宋体" w:eastAsia="宋体" w:cs="宋体"/>
                <w:i w:val="0"/>
                <w:iCs w:val="0"/>
                <w:caps w:val="0"/>
                <w:color w:val="000000"/>
                <w:spacing w:val="0"/>
                <w:kern w:val="0"/>
                <w:sz w:val="15"/>
                <w:szCs w:val="15"/>
                <w:shd w:val="clear" w:color="auto" w:fill="FFFFFF"/>
                <w:lang w:val="en-US" w:eastAsia="zh-CN" w:bidi="ar"/>
              </w:rPr>
              <w:t>2002年分类目录：</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Ⅲ类：</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6815注射穿刺器械，6864医用卫生材料及敷料，6866医用高分子材料及制品</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Ⅱ类：</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6801基础外科手术器械，6815注射穿刺器械，6820普通诊察器械，6821医用电子仪器设备，6826物理治疗及康复设备，6827中医器械，6840临床检验分析仪器及诊断试剂（诊断试剂除外），6841医用化验和基础设备器具，6854手术室、急救室、诊疗室设备及器具，6856病房护理设备及器具，6857消毒和灭菌设备及器具，6858医用冷疗、低温、冷藏设备及器具，6864医用卫生材料及敷料，6866医用高分子材料及制品</w:t>
            </w:r>
          </w:p>
          <w:p w14:paraId="6DAFE47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00" w:lineRule="exact"/>
              <w:jc w:val="left"/>
              <w:textAlignment w:val="auto"/>
              <w:rPr>
                <w:rFonts w:hint="eastAsia" w:ascii="宋体" w:hAnsi="宋体" w:eastAsia="宋体" w:cs="宋体"/>
                <w:i w:val="0"/>
                <w:iCs w:val="0"/>
                <w:caps w:val="0"/>
                <w:color w:val="000000"/>
                <w:spacing w:val="0"/>
                <w:kern w:val="0"/>
                <w:sz w:val="15"/>
                <w:szCs w:val="15"/>
                <w:shd w:val="clear" w:color="auto" w:fill="FFFFFF"/>
                <w:lang w:val="en-US" w:eastAsia="zh-CN" w:bidi="ar"/>
              </w:rPr>
            </w:pPr>
          </w:p>
          <w:p w14:paraId="46F94CC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00" w:lineRule="exact"/>
              <w:jc w:val="left"/>
              <w:textAlignment w:val="auto"/>
              <w:rPr>
                <w:rFonts w:hint="eastAsia" w:ascii="宋体" w:hAnsi="宋体" w:eastAsia="宋体" w:cs="宋体"/>
                <w:i w:val="0"/>
                <w:iCs w:val="0"/>
                <w:caps w:val="0"/>
                <w:color w:val="000000"/>
                <w:spacing w:val="0"/>
                <w:kern w:val="0"/>
                <w:sz w:val="15"/>
                <w:szCs w:val="15"/>
                <w:shd w:val="clear" w:color="auto" w:fill="FFFFFF"/>
                <w:lang w:val="en-US" w:eastAsia="zh-CN" w:bidi="ar"/>
              </w:rPr>
            </w:pPr>
            <w:r>
              <w:rPr>
                <w:rFonts w:hint="eastAsia" w:ascii="宋体" w:hAnsi="宋体" w:eastAsia="宋体" w:cs="宋体"/>
                <w:i w:val="0"/>
                <w:iCs w:val="0"/>
                <w:caps w:val="0"/>
                <w:color w:val="000000"/>
                <w:spacing w:val="0"/>
                <w:kern w:val="0"/>
                <w:sz w:val="15"/>
                <w:szCs w:val="15"/>
                <w:shd w:val="clear" w:color="auto" w:fill="FFFFFF"/>
                <w:lang w:val="en-US" w:eastAsia="zh-CN" w:bidi="ar"/>
              </w:rPr>
              <w:t>2017年分类目录：</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Ⅲ类：</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08呼吸、麻醉和急救器械，10输血、透析和体外循环器械，14注输、护理和防护器械，18妇产科、辅助生殖和避孕器械，22临床检验器械</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Ⅱ类：</w:t>
            </w:r>
            <w:r>
              <w:rPr>
                <w:rFonts w:hint="eastAsia" w:ascii="宋体" w:hAnsi="宋体" w:eastAsia="宋体" w:cs="宋体"/>
                <w:i w:val="0"/>
                <w:iCs w:val="0"/>
                <w:caps w:val="0"/>
                <w:color w:val="000000"/>
                <w:spacing w:val="0"/>
                <w:kern w:val="0"/>
                <w:sz w:val="15"/>
                <w:szCs w:val="15"/>
                <w:shd w:val="clear" w:color="auto" w:fill="FFFFFF"/>
                <w:lang w:val="en-US" w:eastAsia="zh-CN" w:bidi="ar"/>
              </w:rPr>
              <w:br w:type="textWrapping"/>
            </w:r>
            <w:r>
              <w:rPr>
                <w:rFonts w:hint="eastAsia" w:ascii="宋体" w:hAnsi="宋体" w:eastAsia="宋体" w:cs="宋体"/>
                <w:i w:val="0"/>
                <w:iCs w:val="0"/>
                <w:caps w:val="0"/>
                <w:color w:val="000000"/>
                <w:spacing w:val="0"/>
                <w:kern w:val="0"/>
                <w:sz w:val="15"/>
                <w:szCs w:val="15"/>
                <w:shd w:val="clear" w:color="auto" w:fill="FFFFFF"/>
                <w:lang w:val="en-US" w:eastAsia="zh-CN" w:bidi="ar"/>
              </w:rPr>
              <w:t>01有源手术器械，02无源手术器械，04骨科手术器械，06医用成像器械，07医用诊察和监护器械，08呼吸、麻醉和急救器械，09物理治疗器械，10输血、透析和体外循环器械，11医疗器械消毒灭菌器械，12有源植入器械，14注输、护理和防护器械，15患者承载器械，16眼科器械，18妇产科、辅助生殖和避孕器械，19医用康复器械，20中医器械，22临床检验器械</w:t>
            </w:r>
          </w:p>
          <w:p w14:paraId="49233D4F">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200" w:lineRule="exact"/>
              <w:jc w:val="left"/>
              <w:textAlignment w:val="auto"/>
              <w:rPr>
                <w:rFonts w:hint="eastAsia" w:ascii="宋体" w:hAnsi="宋体" w:eastAsia="宋体" w:cs="宋体"/>
                <w:i w:val="0"/>
                <w:iCs w:val="0"/>
                <w:caps w:val="0"/>
                <w:color w:val="000000"/>
                <w:spacing w:val="0"/>
                <w:kern w:val="0"/>
                <w:sz w:val="15"/>
                <w:szCs w:val="15"/>
                <w:shd w:val="clear" w:color="auto" w:fill="FFFFFF"/>
                <w:lang w:val="en-US" w:eastAsia="zh-CN" w:bidi="ar"/>
              </w:rPr>
            </w:pPr>
          </w:p>
        </w:tc>
        <w:tc>
          <w:tcPr>
            <w:tcW w:w="1399"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417D9E10">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r>
              <w:rPr>
                <w:rFonts w:hint="default" w:ascii="宋体" w:hAnsi="宋体" w:eastAsia="宋体" w:cs="宋体"/>
                <w:i w:val="0"/>
                <w:iCs w:val="0"/>
                <w:caps w:val="0"/>
                <w:color w:val="000000"/>
                <w:spacing w:val="0"/>
                <w:kern w:val="0"/>
                <w:sz w:val="15"/>
                <w:szCs w:val="15"/>
                <w:shd w:val="clear" w:color="auto" w:fill="FFFFFF"/>
                <w:lang w:val="en-US" w:eastAsia="zh-CN" w:bidi="ar"/>
              </w:rPr>
              <w:tab/>
            </w:r>
          </w:p>
          <w:p w14:paraId="6E22B097">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r>
              <w:rPr>
                <w:rFonts w:hint="default" w:ascii="宋体" w:hAnsi="宋体" w:eastAsia="宋体" w:cs="宋体"/>
                <w:i w:val="0"/>
                <w:iCs w:val="0"/>
                <w:caps w:val="0"/>
                <w:color w:val="000000"/>
                <w:spacing w:val="0"/>
                <w:kern w:val="0"/>
                <w:sz w:val="15"/>
                <w:szCs w:val="15"/>
                <w:shd w:val="clear" w:color="auto" w:fill="FFFFFF"/>
                <w:lang w:val="en-US" w:eastAsia="zh-CN" w:bidi="ar"/>
              </w:rPr>
              <w:t>马雷雷</w:t>
            </w:r>
          </w:p>
        </w:tc>
        <w:tc>
          <w:tcPr>
            <w:tcW w:w="1012"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3E8FC6B1">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eastAsia" w:ascii="宋体" w:hAnsi="宋体" w:cs="宋体"/>
                <w:i w:val="0"/>
                <w:iCs w:val="0"/>
                <w:caps w:val="0"/>
                <w:color w:val="000000"/>
                <w:spacing w:val="0"/>
                <w:kern w:val="0"/>
                <w:sz w:val="15"/>
                <w:szCs w:val="15"/>
                <w:shd w:val="clear" w:color="auto" w:fill="FFFFFF"/>
                <w:lang w:val="en-US" w:eastAsia="zh-CN" w:bidi="ar"/>
              </w:rPr>
            </w:pPr>
          </w:p>
          <w:p w14:paraId="1920E178">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eastAsia" w:ascii="宋体" w:hAnsi="宋体" w:cs="宋体"/>
                <w:i w:val="0"/>
                <w:iCs w:val="0"/>
                <w:caps w:val="0"/>
                <w:color w:val="000000"/>
                <w:spacing w:val="0"/>
                <w:kern w:val="0"/>
                <w:sz w:val="15"/>
                <w:szCs w:val="15"/>
                <w:shd w:val="clear" w:color="auto" w:fill="FFFFFF"/>
                <w:lang w:val="en-US" w:eastAsia="zh-CN" w:bidi="ar"/>
              </w:rPr>
            </w:pPr>
          </w:p>
          <w:p w14:paraId="31EE93D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eastAsia" w:ascii="宋体" w:hAnsi="宋体" w:cs="宋体"/>
                <w:i w:val="0"/>
                <w:iCs w:val="0"/>
                <w:caps w:val="0"/>
                <w:color w:val="000000"/>
                <w:spacing w:val="0"/>
                <w:kern w:val="0"/>
                <w:sz w:val="15"/>
                <w:szCs w:val="15"/>
                <w:shd w:val="clear" w:color="auto" w:fill="FFFFFF"/>
                <w:lang w:val="en-US" w:eastAsia="zh-CN" w:bidi="ar"/>
              </w:rPr>
            </w:pPr>
          </w:p>
          <w:p w14:paraId="329D8485">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eastAsia" w:ascii="宋体" w:hAnsi="宋体" w:cs="宋体"/>
                <w:i w:val="0"/>
                <w:iCs w:val="0"/>
                <w:caps w:val="0"/>
                <w:color w:val="000000"/>
                <w:spacing w:val="0"/>
                <w:kern w:val="0"/>
                <w:sz w:val="15"/>
                <w:szCs w:val="15"/>
                <w:shd w:val="clear" w:color="auto" w:fill="FFFFFF"/>
                <w:lang w:val="en-US" w:eastAsia="zh-CN" w:bidi="ar"/>
              </w:rPr>
            </w:pPr>
            <w:r>
              <w:rPr>
                <w:rFonts w:hint="eastAsia" w:ascii="宋体" w:hAnsi="宋体" w:cs="宋体"/>
                <w:i w:val="0"/>
                <w:iCs w:val="0"/>
                <w:caps w:val="0"/>
                <w:color w:val="000000"/>
                <w:spacing w:val="0"/>
                <w:kern w:val="0"/>
                <w:sz w:val="15"/>
                <w:szCs w:val="15"/>
                <w:shd w:val="clear" w:color="auto" w:fill="FFFFFF"/>
                <w:lang w:val="en-US" w:eastAsia="zh-CN" w:bidi="ar"/>
              </w:rPr>
              <w:t>美团</w:t>
            </w:r>
          </w:p>
          <w:p w14:paraId="78D178DD">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default" w:ascii="宋体" w:hAnsi="宋体" w:cs="宋体"/>
                <w:i w:val="0"/>
                <w:iCs w:val="0"/>
                <w:caps w:val="0"/>
                <w:color w:val="000000"/>
                <w:spacing w:val="0"/>
                <w:kern w:val="0"/>
                <w:sz w:val="15"/>
                <w:szCs w:val="15"/>
                <w:shd w:val="clear" w:color="auto" w:fill="FFFFFF"/>
                <w:lang w:val="en-US" w:eastAsia="zh-CN" w:bidi="ar"/>
              </w:rPr>
            </w:pPr>
          </w:p>
        </w:tc>
        <w:tc>
          <w:tcPr>
            <w:tcW w:w="1047" w:type="dxa"/>
            <w:tcBorders>
              <w:top w:val="single" w:color="000000" w:sz="6" w:space="0"/>
              <w:left w:val="single" w:color="000000" w:sz="6" w:space="0"/>
              <w:bottom w:val="single" w:color="000000" w:sz="6" w:space="0"/>
              <w:right w:val="single" w:color="000000" w:sz="6" w:space="0"/>
            </w:tcBorders>
            <w:shd w:val="clear" w:color="auto" w:fill="FFFFFF"/>
            <w:noWrap w:val="0"/>
            <w:tcMar>
              <w:top w:w="15" w:type="dxa"/>
              <w:left w:w="15" w:type="dxa"/>
              <w:right w:w="15" w:type="dxa"/>
            </w:tcMar>
            <w:vAlign w:val="center"/>
          </w:tcPr>
          <w:p w14:paraId="7DCED919">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default" w:ascii="宋体" w:hAnsi="宋体" w:cs="宋体"/>
                <w:i w:val="0"/>
                <w:iCs w:val="0"/>
                <w:caps w:val="0"/>
                <w:color w:val="000000"/>
                <w:spacing w:val="0"/>
                <w:kern w:val="0"/>
                <w:sz w:val="15"/>
                <w:szCs w:val="15"/>
                <w:shd w:val="clear" w:color="auto" w:fill="FFFFFF"/>
                <w:lang w:val="en-US" w:eastAsia="zh-CN" w:bidi="ar"/>
              </w:rPr>
            </w:pPr>
            <w:r>
              <w:rPr>
                <w:rFonts w:hint="default" w:ascii="宋体" w:hAnsi="宋体" w:cs="宋体"/>
                <w:i w:val="0"/>
                <w:iCs w:val="0"/>
                <w:caps w:val="0"/>
                <w:color w:val="000000"/>
                <w:spacing w:val="0"/>
                <w:kern w:val="0"/>
                <w:sz w:val="15"/>
                <w:szCs w:val="15"/>
                <w:shd w:val="clear" w:color="auto" w:fill="FFFFFF"/>
                <w:lang w:val="en-US" w:eastAsia="zh-CN" w:bidi="ar"/>
              </w:rPr>
              <w:t>WMYE-010-01-047200977</w:t>
            </w:r>
          </w:p>
        </w:tc>
        <w:tc>
          <w:tcPr>
            <w:tcW w:w="1439"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13F70AA6">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35" w:afterAutospacing="0" w:line="200" w:lineRule="exact"/>
              <w:jc w:val="left"/>
              <w:textAlignment w:val="auto"/>
              <w:rPr>
                <w:rFonts w:hint="default" w:ascii="宋体" w:hAnsi="宋体" w:cs="宋体"/>
                <w:i w:val="0"/>
                <w:iCs w:val="0"/>
                <w:caps w:val="0"/>
                <w:color w:val="000000"/>
                <w:spacing w:val="0"/>
                <w:kern w:val="0"/>
                <w:sz w:val="15"/>
                <w:szCs w:val="15"/>
                <w:shd w:val="clear" w:color="auto" w:fill="FFFFFF"/>
                <w:lang w:val="en-US" w:eastAsia="zh-CN" w:bidi="ar"/>
              </w:rPr>
            </w:pPr>
            <w:r>
              <w:rPr>
                <w:rFonts w:hint="eastAsia" w:ascii="宋体" w:hAnsi="宋体" w:cs="宋体"/>
                <w:i w:val="0"/>
                <w:iCs w:val="0"/>
                <w:caps w:val="0"/>
                <w:color w:val="000000"/>
                <w:spacing w:val="0"/>
                <w:kern w:val="0"/>
                <w:sz w:val="15"/>
                <w:szCs w:val="15"/>
                <w:shd w:val="clear" w:color="auto" w:fill="FFFFFF"/>
                <w:lang w:val="en-US" w:eastAsia="zh-CN" w:bidi="ar"/>
              </w:rPr>
              <w:t>2026.04.</w:t>
            </w:r>
            <w:r>
              <w:rPr>
                <w:rFonts w:hint="default" w:ascii="宋体" w:hAnsi="宋体" w:cs="宋体"/>
                <w:i w:val="0"/>
                <w:iCs w:val="0"/>
                <w:caps w:val="0"/>
                <w:color w:val="000000"/>
                <w:spacing w:val="0"/>
                <w:kern w:val="0"/>
                <w:sz w:val="15"/>
                <w:szCs w:val="15"/>
                <w:shd w:val="clear" w:color="auto" w:fill="FFFFFF"/>
                <w:lang w:val="en-US" w:eastAsia="zh-CN" w:bidi="ar"/>
              </w:rPr>
              <w:t>24</w:t>
            </w:r>
          </w:p>
        </w:tc>
        <w:tc>
          <w:tcPr>
            <w:tcW w:w="1036" w:type="dxa"/>
            <w:tcBorders>
              <w:top w:val="single" w:color="000000" w:sz="6" w:space="0"/>
              <w:left w:val="single" w:color="000000" w:sz="6" w:space="0"/>
              <w:bottom w:val="single" w:color="000000" w:sz="6" w:space="0"/>
              <w:right w:val="single" w:color="000000" w:sz="6" w:space="0"/>
            </w:tcBorders>
            <w:shd w:val="clear" w:color="auto" w:fill="FFFFFF"/>
            <w:noWrap/>
            <w:tcMar>
              <w:top w:w="15" w:type="dxa"/>
              <w:left w:w="15" w:type="dxa"/>
              <w:right w:w="15" w:type="dxa"/>
            </w:tcMar>
            <w:vAlign w:val="center"/>
          </w:tcPr>
          <w:p w14:paraId="41A11DD9">
            <w:pPr>
              <w:keepNext w:val="0"/>
              <w:keepLines w:val="0"/>
              <w:pageBreakBefore w:val="0"/>
              <w:widowControl/>
              <w:suppressLineNumbers w:val="0"/>
              <w:kinsoku/>
              <w:wordWrap/>
              <w:overflowPunct/>
              <w:topLinePunct w:val="0"/>
              <w:autoSpaceDE/>
              <w:autoSpaceDN/>
              <w:bidi w:val="0"/>
              <w:adjustRightInd/>
              <w:snapToGrid/>
              <w:spacing w:line="200" w:lineRule="exact"/>
              <w:jc w:val="left"/>
              <w:rPr>
                <w:rFonts w:hint="default" w:ascii="宋体" w:hAnsi="宋体" w:eastAsia="宋体" w:cs="宋体"/>
                <w:i w:val="0"/>
                <w:iCs w:val="0"/>
                <w:caps w:val="0"/>
                <w:color w:val="000000"/>
                <w:spacing w:val="0"/>
                <w:kern w:val="0"/>
                <w:sz w:val="15"/>
                <w:szCs w:val="15"/>
                <w:shd w:val="clear" w:color="auto" w:fill="FFFFFF"/>
                <w:lang w:val="en-US" w:eastAsia="zh-CN" w:bidi="ar"/>
              </w:rPr>
            </w:pPr>
          </w:p>
        </w:tc>
      </w:tr>
    </w:tbl>
    <w:p w14:paraId="00144B83">
      <w:pPr>
        <w:keepNext w:val="0"/>
        <w:keepLines w:val="0"/>
        <w:pageBreakBefore w:val="0"/>
        <w:kinsoku/>
        <w:wordWrap/>
        <w:overflowPunct/>
        <w:topLinePunct w:val="0"/>
        <w:autoSpaceDE/>
        <w:autoSpaceDN/>
        <w:bidi w:val="0"/>
        <w:adjustRightInd/>
        <w:snapToGrid/>
        <w:spacing w:line="200" w:lineRule="exact"/>
        <w:jc w:val="left"/>
        <w:rPr>
          <w:rFonts w:hint="default" w:ascii="华文仿宋" w:hAnsi="华文仿宋" w:eastAsia="华文仿宋" w:cs="华文仿宋"/>
          <w:b w:val="0"/>
          <w:bCs w:val="0"/>
          <w:sz w:val="15"/>
          <w:szCs w:val="15"/>
          <w:u w:val="none"/>
          <w:lang w:val="en-US" w:eastAsia="zh-CN"/>
        </w:rPr>
      </w:pPr>
    </w:p>
    <w:sectPr>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77FC4"/>
    <w:rsid w:val="01C26E13"/>
    <w:rsid w:val="064A5629"/>
    <w:rsid w:val="2E7FFBF5"/>
    <w:rsid w:val="3D74475E"/>
    <w:rsid w:val="3FB76150"/>
    <w:rsid w:val="57D727FA"/>
    <w:rsid w:val="5FFF3FCE"/>
    <w:rsid w:val="6BE05BE0"/>
    <w:rsid w:val="7AEB222C"/>
    <w:rsid w:val="7DFA4941"/>
    <w:rsid w:val="7FD359DE"/>
    <w:rsid w:val="B4FF327C"/>
    <w:rsid w:val="F77F35A4"/>
    <w:rsid w:val="FBDF78C3"/>
    <w:rsid w:val="FF5680CD"/>
    <w:rsid w:val="FF6D2E2C"/>
    <w:rsid w:val="FFD77F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table" w:styleId="4">
    <w:name w:val="Table Grid"/>
    <w:basedOn w:val="3"/>
    <w:uiPriority w:val="0"/>
    <w:pPr>
      <w:widowControl w:val="0"/>
      <w:jc w:val="both"/>
    </w:pPr>
    <w:tblPr>
      <w:tblStyle w:val="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707</Words>
  <Characters>841</Characters>
  <Lines>0</Lines>
  <Paragraphs>0</Paragraphs>
  <TotalTime>2.66666666666667</TotalTime>
  <ScaleCrop>false</ScaleCrop>
  <LinksUpToDate>false</LinksUpToDate>
  <CharactersWithSpaces>849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2026-04-05T16:44:00Z</dcterms:created>
  <dc:creator>user</dc:creator>
  <cp:lastModifiedBy>湛</cp:lastModifiedBy>
  <cp:lastPrinted>2026-04-27T17:47:50Z</cp:lastPrinted>
  <dcterms:modified xsi:type="dcterms:W3CDTF">2026-04-27T02:12:55Z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67CE3F1639A545A48E6BB0C2A485778D_13</vt:lpwstr>
  </property>
</Properties>
</file>