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EF" w:rsidRDefault="009C0C61" w:rsidP="006814CA">
      <w:pPr>
        <w:pStyle w:val="a3"/>
        <w:widowControl/>
        <w:shd w:val="clear" w:color="auto" w:fill="FFFFFF"/>
        <w:spacing w:beforeAutospacing="0" w:afterAutospacing="0" w:line="630" w:lineRule="atLeast"/>
        <w:jc w:val="center"/>
        <w:rPr>
          <w:rFonts w:ascii="����" w:eastAsia="宋体" w:hAnsi="����" w:cs="����" w:hint="eastAsia"/>
          <w:color w:val="666666"/>
          <w:sz w:val="21"/>
          <w:szCs w:val="21"/>
          <w:shd w:val="clear" w:color="auto" w:fill="FFFFFF"/>
        </w:rPr>
      </w:pPr>
      <w:r>
        <w:rPr>
          <w:rFonts w:ascii="微软雅黑" w:eastAsia="微软雅黑" w:hAnsi="微软雅黑" w:cs="微软雅黑"/>
          <w:color w:val="000000"/>
          <w:sz w:val="42"/>
          <w:szCs w:val="42"/>
          <w:shd w:val="clear" w:color="auto" w:fill="FFFFFF"/>
        </w:rPr>
        <w:t>晋</w:t>
      </w:r>
      <w:r>
        <w:rPr>
          <w:rFonts w:ascii="微软雅黑" w:eastAsia="微软雅黑" w:hAnsi="微软雅黑" w:cs="微软雅黑"/>
          <w:color w:val="000000"/>
          <w:sz w:val="42"/>
          <w:szCs w:val="42"/>
          <w:shd w:val="clear" w:color="auto" w:fill="FFFFFF"/>
        </w:rPr>
        <w:t>城市市场监管局食品安全集中整治百日行</w:t>
      </w:r>
      <w:r>
        <w:rPr>
          <w:rFonts w:ascii="微软雅黑" w:eastAsia="微软雅黑" w:hAnsi="微软雅黑" w:cs="微软雅黑"/>
          <w:color w:val="000000"/>
          <w:sz w:val="42"/>
          <w:szCs w:val="42"/>
          <w:shd w:val="clear" w:color="auto" w:fill="FFFFFF"/>
        </w:rPr>
        <w:t>动</w:t>
      </w:r>
      <w:r>
        <w:rPr>
          <w:rFonts w:ascii="微软雅黑" w:eastAsia="微软雅黑" w:hAnsi="微软雅黑" w:cs="微软雅黑"/>
          <w:color w:val="000000"/>
          <w:sz w:val="42"/>
          <w:szCs w:val="42"/>
          <w:shd w:val="clear" w:color="auto" w:fill="FFFFFF"/>
        </w:rPr>
        <w:t>食</w:t>
      </w:r>
      <w:r>
        <w:rPr>
          <w:rFonts w:ascii="微软雅黑" w:eastAsia="微软雅黑" w:hAnsi="微软雅黑" w:cs="微软雅黑"/>
          <w:color w:val="000000"/>
          <w:sz w:val="42"/>
          <w:szCs w:val="42"/>
          <w:shd w:val="clear" w:color="auto" w:fill="FFFFFF"/>
        </w:rPr>
        <w:t>用</w:t>
      </w:r>
      <w:r>
        <w:rPr>
          <w:rFonts w:ascii="微软雅黑" w:eastAsia="微软雅黑" w:hAnsi="微软雅黑" w:cs="微软雅黑"/>
          <w:color w:val="000000"/>
          <w:sz w:val="42"/>
          <w:szCs w:val="42"/>
          <w:shd w:val="clear" w:color="auto" w:fill="FFFFFF"/>
        </w:rPr>
        <w:t>农产品专项监督抽检分析报告</w:t>
      </w:r>
    </w:p>
    <w:p w:rsidR="003364EF" w:rsidRDefault="009C0C61">
      <w:pPr>
        <w:pStyle w:val="a3"/>
        <w:widowControl/>
        <w:shd w:val="clear" w:color="auto" w:fill="FFFFFF"/>
        <w:spacing w:beforeAutospacing="0" w:afterAutospacing="0" w:line="630" w:lineRule="atLeast"/>
        <w:ind w:right="619" w:firstLine="648"/>
        <w:rPr>
          <w:rFonts w:ascii="����" w:eastAsia="����" w:hAnsi="����" w:cs="����"/>
          <w:color w:val="404040"/>
          <w:sz w:val="21"/>
          <w:szCs w:val="21"/>
        </w:rPr>
      </w:pPr>
      <w:r>
        <w:rPr>
          <w:rStyle w:val="a4"/>
          <w:rFonts w:ascii="微软雅黑" w:eastAsia="微软雅黑" w:hAnsi="微软雅黑" w:cs="微软雅黑"/>
          <w:color w:val="404040"/>
          <w:shd w:val="clear" w:color="auto" w:fill="FFFFFF"/>
        </w:rPr>
        <w:t>一、专项抽检情况概述</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为进一步发挥食品安全监督抽检的靶向性，有效防范食品安全风险，在近期开展的全市食品安全集中整治百日行动中，晋城市市场监督管理局结合今年年度抽检任务完成情况，针对其中不合格率较高</w:t>
      </w: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风险较大的食用农产品，从</w:t>
      </w:r>
      <w:r>
        <w:rPr>
          <w:rFonts w:ascii="微软雅黑" w:eastAsia="微软雅黑" w:hAnsi="微软雅黑" w:cs="微软雅黑" w:hint="eastAsia"/>
          <w:color w:val="404040"/>
          <w:shd w:val="clear" w:color="auto" w:fill="FFFFFF"/>
        </w:rPr>
        <w:t>2020</w:t>
      </w:r>
      <w:r>
        <w:rPr>
          <w:rFonts w:ascii="微软雅黑" w:eastAsia="微软雅黑" w:hAnsi="微软雅黑" w:cs="微软雅黑" w:hint="eastAsia"/>
          <w:color w:val="404040"/>
          <w:shd w:val="clear" w:color="auto" w:fill="FFFFFF"/>
        </w:rPr>
        <w:t>年</w:t>
      </w:r>
      <w:r>
        <w:rPr>
          <w:rFonts w:ascii="微软雅黑" w:eastAsia="微软雅黑" w:hAnsi="微软雅黑" w:cs="微软雅黑" w:hint="eastAsia"/>
          <w:color w:val="404040"/>
          <w:shd w:val="clear" w:color="auto" w:fill="FFFFFF"/>
        </w:rPr>
        <w:t>11</w:t>
      </w:r>
      <w:r>
        <w:rPr>
          <w:rFonts w:ascii="微软雅黑" w:eastAsia="微软雅黑" w:hAnsi="微软雅黑" w:cs="微软雅黑" w:hint="eastAsia"/>
          <w:color w:val="404040"/>
          <w:shd w:val="clear" w:color="auto" w:fill="FFFFFF"/>
        </w:rPr>
        <w:t>月</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日开始，组织开展了一次专项监督抽检。</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共安排抽检任务</w:t>
      </w:r>
      <w:r>
        <w:rPr>
          <w:rFonts w:ascii="微软雅黑" w:eastAsia="微软雅黑" w:hAnsi="微软雅黑" w:cs="微软雅黑" w:hint="eastAsia"/>
          <w:color w:val="404040"/>
          <w:shd w:val="clear" w:color="auto" w:fill="FFFFFF"/>
        </w:rPr>
        <w:t>400</w:t>
      </w:r>
      <w:r>
        <w:rPr>
          <w:rFonts w:ascii="微软雅黑" w:eastAsia="微软雅黑" w:hAnsi="微软雅黑" w:cs="微软雅黑" w:hint="eastAsia"/>
          <w:color w:val="404040"/>
          <w:shd w:val="clear" w:color="auto" w:fill="FFFFFF"/>
        </w:rPr>
        <w:t>批次，抽样重点品种为群众消费量大的水产品、蔬菜、畜禽肉及其副产品、水果等</w:t>
      </w:r>
      <w:r>
        <w:rPr>
          <w:rFonts w:ascii="微软雅黑" w:eastAsia="微软雅黑" w:hAnsi="微软雅黑" w:cs="微软雅黑" w:hint="eastAsia"/>
          <w:color w:val="404040"/>
          <w:shd w:val="clear" w:color="auto" w:fill="FFFFFF"/>
        </w:rPr>
        <w:t>62</w:t>
      </w:r>
      <w:r>
        <w:rPr>
          <w:rFonts w:ascii="微软雅黑" w:eastAsia="微软雅黑" w:hAnsi="微软雅黑" w:cs="微软雅黑" w:hint="eastAsia"/>
          <w:color w:val="404040"/>
          <w:shd w:val="clear" w:color="auto" w:fill="FFFFFF"/>
        </w:rPr>
        <w:t>个食品细类，抽样区域为全市各县（市、区）和开发区，抽样对象为农贸市场、超市、农产品销售公司等，主要检测质量指标为农药残留、兽药残留、重金属和抗生素等。</w:t>
      </w:r>
    </w:p>
    <w:p w:rsidR="003364EF" w:rsidRDefault="009C0C61">
      <w:pPr>
        <w:pStyle w:val="a3"/>
        <w:widowControl/>
        <w:shd w:val="clear" w:color="auto" w:fill="FFFFFF"/>
        <w:spacing w:beforeAutospacing="0" w:afterAutospacing="0" w:line="630" w:lineRule="atLeast"/>
        <w:ind w:right="619" w:firstLine="648"/>
        <w:rPr>
          <w:rFonts w:ascii="����" w:eastAsia="����" w:hAnsi="����" w:cs="����"/>
          <w:color w:val="404040"/>
          <w:sz w:val="21"/>
          <w:szCs w:val="21"/>
        </w:rPr>
      </w:pPr>
      <w:r>
        <w:rPr>
          <w:rStyle w:val="a4"/>
          <w:rFonts w:ascii="微软雅黑" w:eastAsia="微软雅黑" w:hAnsi="微软雅黑" w:cs="微软雅黑" w:hint="eastAsia"/>
          <w:color w:val="404040"/>
          <w:shd w:val="clear" w:color="auto" w:fill="FFFFFF"/>
        </w:rPr>
        <w:t>二、专项</w:t>
      </w:r>
      <w:r>
        <w:rPr>
          <w:rStyle w:val="a4"/>
          <w:rFonts w:ascii="微软雅黑" w:eastAsia="微软雅黑" w:hAnsi="微软雅黑" w:cs="微软雅黑" w:hint="eastAsia"/>
          <w:color w:val="404040"/>
          <w:shd w:val="clear" w:color="auto" w:fill="FFFFFF"/>
        </w:rPr>
        <w:t>抽检结果分析</w:t>
      </w:r>
    </w:p>
    <w:p w:rsidR="003364EF" w:rsidRDefault="009C0C61">
      <w:pPr>
        <w:pStyle w:val="a3"/>
        <w:widowControl/>
        <w:shd w:val="clear" w:color="auto" w:fill="FFFFFF"/>
        <w:spacing w:beforeAutospacing="0" w:afterAutospacing="0" w:line="630" w:lineRule="atLeast"/>
        <w:ind w:left="619" w:right="619"/>
        <w:rPr>
          <w:rFonts w:ascii="����" w:eastAsia="����" w:hAnsi="����" w:cs="����"/>
          <w:color w:val="404040"/>
          <w:sz w:val="21"/>
          <w:szCs w:val="21"/>
        </w:rPr>
      </w:pPr>
      <w:r>
        <w:rPr>
          <w:rStyle w:val="a4"/>
          <w:rFonts w:ascii="微软雅黑" w:eastAsia="微软雅黑" w:hAnsi="微软雅黑" w:cs="微软雅黑" w:hint="eastAsia"/>
          <w:color w:val="404040"/>
          <w:shd w:val="clear" w:color="auto" w:fill="FFFFFF"/>
        </w:rPr>
        <w:t>（一）基本情况表</w:t>
      </w:r>
    </w:p>
    <w:tbl>
      <w:tblPr>
        <w:tblW w:w="8745" w:type="dxa"/>
        <w:jc w:val="center"/>
        <w:tblCellSpacing w:w="0" w:type="dxa"/>
        <w:tblCellMar>
          <w:left w:w="0" w:type="dxa"/>
          <w:right w:w="0" w:type="dxa"/>
        </w:tblCellMar>
        <w:tblLook w:val="04A0"/>
      </w:tblPr>
      <w:tblGrid>
        <w:gridCol w:w="1953"/>
        <w:gridCol w:w="1760"/>
        <w:gridCol w:w="1109"/>
        <w:gridCol w:w="1372"/>
        <w:gridCol w:w="1302"/>
        <w:gridCol w:w="1249"/>
      </w:tblGrid>
      <w:tr w:rsidR="003364EF">
        <w:trPr>
          <w:trHeight w:val="286"/>
          <w:tblCellSpacing w:w="0" w:type="dxa"/>
          <w:jc w:val="center"/>
        </w:trPr>
        <w:tc>
          <w:tcPr>
            <w:tcW w:w="166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ind w:firstLine="245"/>
            </w:pPr>
            <w:r>
              <w:rPr>
                <w:rFonts w:ascii="微软雅黑" w:eastAsia="微软雅黑" w:hAnsi="微软雅黑" w:cs="微软雅黑" w:hint="eastAsia"/>
              </w:rPr>
              <w:t>承检机构</w:t>
            </w:r>
          </w:p>
        </w:tc>
        <w:tc>
          <w:tcPr>
            <w:tcW w:w="150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实际完成批次</w:t>
            </w:r>
          </w:p>
        </w:tc>
        <w:tc>
          <w:tcPr>
            <w:tcW w:w="94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合格样品批次</w:t>
            </w:r>
          </w:p>
        </w:tc>
        <w:tc>
          <w:tcPr>
            <w:tcW w:w="117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w:t>
            </w:r>
          </w:p>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样品批次</w:t>
            </w:r>
          </w:p>
        </w:tc>
        <w:tc>
          <w:tcPr>
            <w:tcW w:w="11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合格率</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不合格率</w:t>
            </w:r>
          </w:p>
        </w:tc>
      </w:tr>
      <w:tr w:rsidR="003364EF">
        <w:trPr>
          <w:trHeight w:val="645"/>
          <w:tblCellSpacing w:w="0" w:type="dxa"/>
          <w:jc w:val="center"/>
        </w:trPr>
        <w:tc>
          <w:tcPr>
            <w:tcW w:w="166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河南华测检测技术有限公司</w:t>
            </w:r>
          </w:p>
        </w:tc>
        <w:tc>
          <w:tcPr>
            <w:tcW w:w="150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ind w:firstLine="475"/>
            </w:pPr>
            <w:r>
              <w:rPr>
                <w:rFonts w:ascii="微软雅黑" w:eastAsia="微软雅黑" w:hAnsi="微软雅黑" w:cs="微软雅黑" w:hint="eastAsia"/>
              </w:rPr>
              <w:t>400</w:t>
            </w:r>
          </w:p>
        </w:tc>
        <w:tc>
          <w:tcPr>
            <w:tcW w:w="94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ind w:firstLine="245"/>
            </w:pPr>
            <w:r>
              <w:rPr>
                <w:rFonts w:ascii="微软雅黑" w:eastAsia="微软雅黑" w:hAnsi="微软雅黑" w:cs="微软雅黑" w:hint="eastAsia"/>
              </w:rPr>
              <w:t>400</w:t>
            </w:r>
          </w:p>
        </w:tc>
        <w:tc>
          <w:tcPr>
            <w:tcW w:w="117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ind w:firstLine="475"/>
            </w:pPr>
            <w:r>
              <w:rPr>
                <w:rFonts w:ascii="微软雅黑" w:eastAsia="微软雅黑" w:hAnsi="微软雅黑" w:cs="微软雅黑" w:hint="eastAsia"/>
              </w:rPr>
              <w:t>21</w:t>
            </w:r>
          </w:p>
        </w:tc>
        <w:tc>
          <w:tcPr>
            <w:tcW w:w="11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94.75%</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ind w:firstLine="245"/>
            </w:pPr>
            <w:r>
              <w:rPr>
                <w:rFonts w:ascii="微软雅黑" w:eastAsia="微软雅黑" w:hAnsi="微软雅黑" w:cs="微软雅黑" w:hint="eastAsia"/>
              </w:rPr>
              <w:t>5.25%</w:t>
            </w:r>
          </w:p>
        </w:tc>
      </w:tr>
    </w:tbl>
    <w:p w:rsidR="003364EF" w:rsidRDefault="009C0C61">
      <w:pPr>
        <w:pStyle w:val="a3"/>
        <w:widowControl/>
        <w:shd w:val="clear" w:color="auto" w:fill="FFFFFF"/>
        <w:spacing w:beforeAutospacing="0" w:afterAutospacing="0" w:line="630" w:lineRule="atLeast"/>
        <w:ind w:firstLine="648"/>
        <w:rPr>
          <w:rFonts w:ascii="����" w:eastAsia="����" w:hAnsi="����" w:cs="����"/>
          <w:color w:val="404040"/>
          <w:sz w:val="21"/>
          <w:szCs w:val="21"/>
        </w:rPr>
      </w:pPr>
      <w:r>
        <w:rPr>
          <w:rStyle w:val="a4"/>
          <w:rFonts w:ascii="微软雅黑" w:eastAsia="微软雅黑" w:hAnsi="微软雅黑" w:cs="微软雅黑" w:hint="eastAsia"/>
          <w:color w:val="404040"/>
          <w:shd w:val="clear" w:color="auto" w:fill="FFFFFF"/>
        </w:rPr>
        <w:t>（二）不同食品类别抽检结果分析</w:t>
      </w:r>
    </w:p>
    <w:tbl>
      <w:tblPr>
        <w:tblW w:w="8790" w:type="dxa"/>
        <w:jc w:val="center"/>
        <w:tblCellSpacing w:w="0" w:type="dxa"/>
        <w:tblCellMar>
          <w:left w:w="0" w:type="dxa"/>
          <w:right w:w="0" w:type="dxa"/>
        </w:tblCellMar>
        <w:tblLook w:val="04A0"/>
      </w:tblPr>
      <w:tblGrid>
        <w:gridCol w:w="546"/>
        <w:gridCol w:w="2693"/>
        <w:gridCol w:w="920"/>
        <w:gridCol w:w="1006"/>
        <w:gridCol w:w="1125"/>
        <w:gridCol w:w="1256"/>
        <w:gridCol w:w="1244"/>
      </w:tblGrid>
      <w:tr w:rsidR="003364EF">
        <w:trPr>
          <w:trHeight w:val="480"/>
          <w:tblCellSpacing w:w="0" w:type="dxa"/>
          <w:jc w:val="center"/>
        </w:trPr>
        <w:tc>
          <w:tcPr>
            <w:tcW w:w="48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序号</w:t>
            </w:r>
          </w:p>
        </w:tc>
        <w:tc>
          <w:tcPr>
            <w:tcW w:w="216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食品亚类</w:t>
            </w:r>
          </w:p>
        </w:tc>
        <w:tc>
          <w:tcPr>
            <w:tcW w:w="8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实际完成批次</w:t>
            </w:r>
          </w:p>
        </w:tc>
        <w:tc>
          <w:tcPr>
            <w:tcW w:w="88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合格样品批次</w:t>
            </w:r>
          </w:p>
        </w:tc>
        <w:tc>
          <w:tcPr>
            <w:tcW w:w="9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w:t>
            </w:r>
          </w:p>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样品批次</w:t>
            </w:r>
          </w:p>
        </w:tc>
        <w:tc>
          <w:tcPr>
            <w:tcW w:w="91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抽检批次占比</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不合格率</w:t>
            </w:r>
          </w:p>
        </w:tc>
      </w:tr>
      <w:tr w:rsidR="003364EF">
        <w:trPr>
          <w:trHeight w:val="106"/>
          <w:tblCellSpacing w:w="0" w:type="dxa"/>
          <w:jc w:val="center"/>
        </w:trPr>
        <w:tc>
          <w:tcPr>
            <w:tcW w:w="48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w:t>
            </w:r>
          </w:p>
        </w:tc>
        <w:tc>
          <w:tcPr>
            <w:tcW w:w="216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水产品</w:t>
            </w:r>
          </w:p>
        </w:tc>
        <w:tc>
          <w:tcPr>
            <w:tcW w:w="81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21</w:t>
            </w:r>
          </w:p>
        </w:tc>
        <w:tc>
          <w:tcPr>
            <w:tcW w:w="88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18</w:t>
            </w:r>
          </w:p>
        </w:tc>
        <w:tc>
          <w:tcPr>
            <w:tcW w:w="9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3</w:t>
            </w:r>
          </w:p>
        </w:tc>
        <w:tc>
          <w:tcPr>
            <w:tcW w:w="91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5.25%</w:t>
            </w:r>
          </w:p>
        </w:tc>
        <w:tc>
          <w:tcPr>
            <w:tcW w:w="106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14.29%</w:t>
            </w:r>
          </w:p>
        </w:tc>
      </w:tr>
      <w:tr w:rsidR="003364EF">
        <w:trPr>
          <w:trHeight w:val="106"/>
          <w:tblCellSpacing w:w="0" w:type="dxa"/>
          <w:jc w:val="center"/>
        </w:trPr>
        <w:tc>
          <w:tcPr>
            <w:tcW w:w="48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lastRenderedPageBreak/>
              <w:t>2</w:t>
            </w:r>
          </w:p>
        </w:tc>
        <w:tc>
          <w:tcPr>
            <w:tcW w:w="216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蔬菜</w:t>
            </w:r>
          </w:p>
        </w:tc>
        <w:tc>
          <w:tcPr>
            <w:tcW w:w="81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229</w:t>
            </w:r>
          </w:p>
        </w:tc>
        <w:tc>
          <w:tcPr>
            <w:tcW w:w="88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213</w:t>
            </w:r>
          </w:p>
        </w:tc>
        <w:tc>
          <w:tcPr>
            <w:tcW w:w="9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16</w:t>
            </w:r>
          </w:p>
        </w:tc>
        <w:tc>
          <w:tcPr>
            <w:tcW w:w="91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57.25%</w:t>
            </w:r>
          </w:p>
        </w:tc>
        <w:tc>
          <w:tcPr>
            <w:tcW w:w="106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6.99%</w:t>
            </w:r>
          </w:p>
        </w:tc>
      </w:tr>
      <w:tr w:rsidR="003364EF">
        <w:trPr>
          <w:trHeight w:val="106"/>
          <w:tblCellSpacing w:w="0" w:type="dxa"/>
          <w:jc w:val="center"/>
        </w:trPr>
        <w:tc>
          <w:tcPr>
            <w:tcW w:w="48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3</w:t>
            </w:r>
          </w:p>
        </w:tc>
        <w:tc>
          <w:tcPr>
            <w:tcW w:w="216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畜禽肉及其副产品</w:t>
            </w:r>
          </w:p>
        </w:tc>
        <w:tc>
          <w:tcPr>
            <w:tcW w:w="8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34</w:t>
            </w:r>
          </w:p>
        </w:tc>
        <w:tc>
          <w:tcPr>
            <w:tcW w:w="88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33</w:t>
            </w:r>
          </w:p>
        </w:tc>
        <w:tc>
          <w:tcPr>
            <w:tcW w:w="9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w:t>
            </w:r>
          </w:p>
        </w:tc>
        <w:tc>
          <w:tcPr>
            <w:tcW w:w="91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8.50%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2.94%</w:t>
            </w:r>
          </w:p>
        </w:tc>
      </w:tr>
      <w:tr w:rsidR="003364EF">
        <w:trPr>
          <w:trHeight w:val="106"/>
          <w:tblCellSpacing w:w="0" w:type="dxa"/>
          <w:jc w:val="center"/>
        </w:trPr>
        <w:tc>
          <w:tcPr>
            <w:tcW w:w="48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4</w:t>
            </w:r>
          </w:p>
        </w:tc>
        <w:tc>
          <w:tcPr>
            <w:tcW w:w="216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水果类</w:t>
            </w:r>
          </w:p>
        </w:tc>
        <w:tc>
          <w:tcPr>
            <w:tcW w:w="8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88</w:t>
            </w:r>
          </w:p>
        </w:tc>
        <w:tc>
          <w:tcPr>
            <w:tcW w:w="88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87</w:t>
            </w:r>
          </w:p>
        </w:tc>
        <w:tc>
          <w:tcPr>
            <w:tcW w:w="9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w:t>
            </w:r>
          </w:p>
        </w:tc>
        <w:tc>
          <w:tcPr>
            <w:tcW w:w="91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22.00%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1.14%</w:t>
            </w:r>
          </w:p>
        </w:tc>
      </w:tr>
      <w:tr w:rsidR="003364EF">
        <w:trPr>
          <w:trHeight w:val="106"/>
          <w:tblCellSpacing w:w="0" w:type="dxa"/>
          <w:jc w:val="center"/>
        </w:trPr>
        <w:tc>
          <w:tcPr>
            <w:tcW w:w="48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5</w:t>
            </w:r>
          </w:p>
        </w:tc>
        <w:tc>
          <w:tcPr>
            <w:tcW w:w="216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鲜蛋</w:t>
            </w:r>
          </w:p>
        </w:tc>
        <w:tc>
          <w:tcPr>
            <w:tcW w:w="8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19</w:t>
            </w:r>
          </w:p>
        </w:tc>
        <w:tc>
          <w:tcPr>
            <w:tcW w:w="88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19</w:t>
            </w:r>
          </w:p>
        </w:tc>
        <w:tc>
          <w:tcPr>
            <w:tcW w:w="9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0</w:t>
            </w:r>
          </w:p>
        </w:tc>
        <w:tc>
          <w:tcPr>
            <w:tcW w:w="91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4.75%</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0.00%</w:t>
            </w:r>
          </w:p>
        </w:tc>
      </w:tr>
      <w:tr w:rsidR="003364EF">
        <w:trPr>
          <w:trHeight w:val="106"/>
          <w:tblCellSpacing w:w="0" w:type="dxa"/>
          <w:jc w:val="center"/>
        </w:trPr>
        <w:tc>
          <w:tcPr>
            <w:tcW w:w="48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6</w:t>
            </w:r>
          </w:p>
        </w:tc>
        <w:tc>
          <w:tcPr>
            <w:tcW w:w="216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生干坚果与籽类食品</w:t>
            </w:r>
          </w:p>
        </w:tc>
        <w:tc>
          <w:tcPr>
            <w:tcW w:w="8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6</w:t>
            </w:r>
          </w:p>
        </w:tc>
        <w:tc>
          <w:tcPr>
            <w:tcW w:w="88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6</w:t>
            </w:r>
          </w:p>
        </w:tc>
        <w:tc>
          <w:tcPr>
            <w:tcW w:w="9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0</w:t>
            </w:r>
          </w:p>
        </w:tc>
        <w:tc>
          <w:tcPr>
            <w:tcW w:w="91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1.50%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0.00%</w:t>
            </w:r>
          </w:p>
        </w:tc>
      </w:tr>
      <w:tr w:rsidR="003364EF">
        <w:trPr>
          <w:trHeight w:val="106"/>
          <w:tblCellSpacing w:w="0" w:type="dxa"/>
          <w:jc w:val="center"/>
        </w:trPr>
        <w:tc>
          <w:tcPr>
            <w:tcW w:w="48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7</w:t>
            </w:r>
          </w:p>
        </w:tc>
        <w:tc>
          <w:tcPr>
            <w:tcW w:w="216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豆类</w:t>
            </w:r>
          </w:p>
        </w:tc>
        <w:tc>
          <w:tcPr>
            <w:tcW w:w="81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3</w:t>
            </w:r>
          </w:p>
        </w:tc>
        <w:tc>
          <w:tcPr>
            <w:tcW w:w="88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3</w:t>
            </w:r>
          </w:p>
        </w:tc>
        <w:tc>
          <w:tcPr>
            <w:tcW w:w="9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0</w:t>
            </w:r>
          </w:p>
        </w:tc>
        <w:tc>
          <w:tcPr>
            <w:tcW w:w="91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0.75%</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0.00%</w:t>
            </w:r>
          </w:p>
        </w:tc>
      </w:tr>
      <w:tr w:rsidR="003364EF">
        <w:trPr>
          <w:trHeight w:val="91"/>
          <w:tblCellSpacing w:w="0" w:type="dxa"/>
          <w:jc w:val="center"/>
        </w:trPr>
        <w:tc>
          <w:tcPr>
            <w:tcW w:w="2850" w:type="dxa"/>
            <w:gridSpan w:val="2"/>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合</w:t>
            </w:r>
            <w:r>
              <w:rPr>
                <w:rFonts w:ascii="微软雅黑" w:eastAsia="微软雅黑" w:hAnsi="微软雅黑" w:cs="微软雅黑" w:hint="eastAsia"/>
              </w:rPr>
              <w:t xml:space="preserve"> </w:t>
            </w:r>
            <w:r>
              <w:rPr>
                <w:rFonts w:ascii="微软雅黑" w:eastAsia="微软雅黑" w:hAnsi="微软雅黑" w:cs="微软雅黑" w:hint="eastAsia"/>
              </w:rPr>
              <w:t>计</w:t>
            </w:r>
          </w:p>
        </w:tc>
        <w:tc>
          <w:tcPr>
            <w:tcW w:w="81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400</w:t>
            </w:r>
          </w:p>
        </w:tc>
        <w:tc>
          <w:tcPr>
            <w:tcW w:w="88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379</w:t>
            </w:r>
          </w:p>
        </w:tc>
        <w:tc>
          <w:tcPr>
            <w:tcW w:w="9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21</w:t>
            </w:r>
          </w:p>
        </w:tc>
        <w:tc>
          <w:tcPr>
            <w:tcW w:w="91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100.00%</w:t>
            </w:r>
          </w:p>
        </w:tc>
        <w:tc>
          <w:tcPr>
            <w:tcW w:w="106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pPr>
            <w:r>
              <w:rPr>
                <w:rFonts w:ascii="微软雅黑" w:eastAsia="微软雅黑" w:hAnsi="微软雅黑" w:cs="微软雅黑" w:hint="eastAsia"/>
              </w:rPr>
              <w:t>5.25%</w:t>
            </w:r>
          </w:p>
        </w:tc>
      </w:tr>
    </w:tbl>
    <w:p w:rsidR="003364EF" w:rsidRDefault="009C0C61">
      <w:pPr>
        <w:pStyle w:val="a3"/>
        <w:widowControl/>
        <w:shd w:val="clear" w:color="auto" w:fill="FFFFFF"/>
        <w:spacing w:beforeAutospacing="0" w:afterAutospacing="0" w:line="630" w:lineRule="atLeast"/>
        <w:rPr>
          <w:rFonts w:ascii="����" w:eastAsia="����" w:hAnsi="����" w:cs="����"/>
          <w:color w:val="404040"/>
          <w:sz w:val="21"/>
          <w:szCs w:val="21"/>
        </w:rPr>
      </w:pPr>
      <w:r>
        <w:rPr>
          <w:rFonts w:ascii="����" w:eastAsia="����" w:hAnsi="����" w:cs="����"/>
          <w:color w:val="404040"/>
          <w:shd w:val="clear" w:color="auto" w:fill="FFFFFF"/>
        </w:rPr>
        <w:t> </w:t>
      </w:r>
    </w:p>
    <w:p w:rsidR="003364EF" w:rsidRDefault="009C0C61">
      <w:pPr>
        <w:pStyle w:val="a3"/>
        <w:widowControl/>
        <w:shd w:val="clear" w:color="auto" w:fill="FFFFFF"/>
        <w:spacing w:beforeAutospacing="0" w:afterAutospacing="0" w:line="630" w:lineRule="atLeast"/>
        <w:jc w:val="center"/>
        <w:rPr>
          <w:rFonts w:ascii="����" w:eastAsia="����" w:hAnsi="����" w:cs="����"/>
          <w:color w:val="404040"/>
          <w:sz w:val="21"/>
          <w:szCs w:val="21"/>
        </w:rPr>
      </w:pPr>
      <w:r>
        <w:rPr>
          <w:rFonts w:ascii="����" w:eastAsia="����" w:hAnsi="����" w:cs="����"/>
          <w:noProof/>
          <w:color w:val="404040"/>
          <w:sz w:val="21"/>
          <w:szCs w:val="21"/>
          <w:shd w:val="clear" w:color="auto" w:fill="FFFFFF"/>
        </w:rPr>
        <w:drawing>
          <wp:inline distT="0" distB="0" distL="114300" distR="114300">
            <wp:extent cx="5905500" cy="34290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905500" cy="3429000"/>
                    </a:xfrm>
                    <a:prstGeom prst="rect">
                      <a:avLst/>
                    </a:prstGeom>
                    <a:noFill/>
                    <a:ln w="9525">
                      <a:noFill/>
                    </a:ln>
                  </pic:spPr>
                </pic:pic>
              </a:graphicData>
            </a:graphic>
          </wp:inline>
        </w:drawing>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从以上图表可以看出，本次抽检任务中，水产品的不合格率最高，抽检样品</w:t>
      </w:r>
      <w:r>
        <w:rPr>
          <w:rFonts w:ascii="微软雅黑" w:eastAsia="微软雅黑" w:hAnsi="微软雅黑" w:cs="微软雅黑" w:hint="eastAsia"/>
          <w:color w:val="404040"/>
          <w:shd w:val="clear" w:color="auto" w:fill="FFFFFF"/>
        </w:rPr>
        <w:t>21</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3</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14.29%</w:t>
      </w:r>
      <w:r>
        <w:rPr>
          <w:rFonts w:ascii="微软雅黑" w:eastAsia="微软雅黑" w:hAnsi="微软雅黑" w:cs="微软雅黑" w:hint="eastAsia"/>
          <w:color w:val="404040"/>
          <w:shd w:val="clear" w:color="auto" w:fill="FFFFFF"/>
        </w:rPr>
        <w:t>；其次是蔬菜，抽检样品</w:t>
      </w:r>
      <w:r>
        <w:rPr>
          <w:rFonts w:ascii="微软雅黑" w:eastAsia="微软雅黑" w:hAnsi="微软雅黑" w:cs="微软雅黑" w:hint="eastAsia"/>
          <w:color w:val="404040"/>
          <w:shd w:val="clear" w:color="auto" w:fill="FFFFFF"/>
        </w:rPr>
        <w:t>229</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16</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6.99%</w:t>
      </w:r>
      <w:r>
        <w:rPr>
          <w:rFonts w:ascii="微软雅黑" w:eastAsia="微软雅黑" w:hAnsi="微软雅黑" w:cs="微软雅黑" w:hint="eastAsia"/>
          <w:color w:val="404040"/>
          <w:shd w:val="clear" w:color="auto" w:fill="FFFFFF"/>
        </w:rPr>
        <w:t>；畜禽肉及其副产品抽检样品</w:t>
      </w:r>
      <w:r>
        <w:rPr>
          <w:rFonts w:ascii="微软雅黑" w:eastAsia="微软雅黑" w:hAnsi="微软雅黑" w:cs="微软雅黑" w:hint="eastAsia"/>
          <w:color w:val="404040"/>
          <w:shd w:val="clear" w:color="auto" w:fill="FFFFFF"/>
        </w:rPr>
        <w:t>34</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2.94%</w:t>
      </w:r>
      <w:r>
        <w:rPr>
          <w:rFonts w:ascii="微软雅黑" w:eastAsia="微软雅黑" w:hAnsi="微软雅黑" w:cs="微软雅黑" w:hint="eastAsia"/>
          <w:color w:val="404040"/>
          <w:shd w:val="clear" w:color="auto" w:fill="FFFFFF"/>
        </w:rPr>
        <w:t>；水果类抽检样品</w:t>
      </w:r>
      <w:r>
        <w:rPr>
          <w:rFonts w:ascii="微软雅黑" w:eastAsia="微软雅黑" w:hAnsi="微软雅黑" w:cs="微软雅黑" w:hint="eastAsia"/>
          <w:color w:val="404040"/>
          <w:shd w:val="clear" w:color="auto" w:fill="FFFFFF"/>
        </w:rPr>
        <w:t>88</w:t>
      </w:r>
      <w:r>
        <w:rPr>
          <w:rFonts w:ascii="微软雅黑" w:eastAsia="微软雅黑" w:hAnsi="微软雅黑" w:cs="微软雅黑" w:hint="eastAsia"/>
          <w:color w:val="404040"/>
          <w:shd w:val="clear" w:color="auto" w:fill="FFFFFF"/>
        </w:rPr>
        <w:t>批次，</w:t>
      </w:r>
      <w:r>
        <w:rPr>
          <w:rFonts w:ascii="微软雅黑" w:eastAsia="微软雅黑" w:hAnsi="微软雅黑" w:cs="微软雅黑" w:hint="eastAsia"/>
          <w:color w:val="404040"/>
          <w:shd w:val="clear" w:color="auto" w:fill="FFFFFF"/>
        </w:rPr>
        <w:lastRenderedPageBreak/>
        <w:t>不合格样品</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1.14%</w:t>
      </w:r>
      <w:r>
        <w:rPr>
          <w:rFonts w:ascii="微软雅黑" w:eastAsia="微软雅黑" w:hAnsi="微软雅黑" w:cs="微软雅黑" w:hint="eastAsia"/>
          <w:color w:val="404040"/>
          <w:shd w:val="clear" w:color="auto" w:fill="FFFFFF"/>
        </w:rPr>
        <w:t>；鲜蛋、生干坚果与籽类食品、豆类未检出不合格样品。</w:t>
      </w:r>
    </w:p>
    <w:p w:rsidR="003364EF" w:rsidRDefault="009C0C61">
      <w:pPr>
        <w:pStyle w:val="a3"/>
        <w:widowControl/>
        <w:shd w:val="clear" w:color="auto" w:fill="FFFFFF"/>
        <w:spacing w:beforeAutospacing="0" w:after="115" w:afterAutospacing="0" w:line="630" w:lineRule="atLeast"/>
        <w:ind w:left="418"/>
        <w:rPr>
          <w:rFonts w:ascii="����" w:eastAsia="����" w:hAnsi="����" w:cs="����"/>
          <w:color w:val="404040"/>
          <w:sz w:val="21"/>
          <w:szCs w:val="21"/>
        </w:rPr>
      </w:pPr>
      <w:r>
        <w:rPr>
          <w:rStyle w:val="a4"/>
          <w:rFonts w:ascii="微软雅黑" w:eastAsia="微软雅黑" w:hAnsi="微软雅黑" w:cs="微软雅黑" w:hint="eastAsia"/>
          <w:color w:val="404040"/>
          <w:shd w:val="clear" w:color="auto" w:fill="FFFFFF"/>
        </w:rPr>
        <w:t>（三）不同抽样区域抽检情况分析</w:t>
      </w:r>
    </w:p>
    <w:tbl>
      <w:tblPr>
        <w:tblW w:w="8310" w:type="dxa"/>
        <w:jc w:val="center"/>
        <w:tblCellSpacing w:w="0" w:type="dxa"/>
        <w:tblCellMar>
          <w:left w:w="0" w:type="dxa"/>
          <w:right w:w="0" w:type="dxa"/>
        </w:tblCellMar>
        <w:tblLook w:val="04A0"/>
      </w:tblPr>
      <w:tblGrid>
        <w:gridCol w:w="603"/>
        <w:gridCol w:w="1659"/>
        <w:gridCol w:w="2111"/>
        <w:gridCol w:w="2161"/>
        <w:gridCol w:w="1776"/>
      </w:tblGrid>
      <w:tr w:rsidR="003364EF">
        <w:trPr>
          <w:trHeight w:val="286"/>
          <w:tblCellSpacing w:w="0" w:type="dxa"/>
          <w:jc w:val="center"/>
        </w:trPr>
        <w:tc>
          <w:tcPr>
            <w:tcW w:w="54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序号</w:t>
            </w:r>
          </w:p>
        </w:tc>
        <w:tc>
          <w:tcPr>
            <w:tcW w:w="127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抽样区域</w:t>
            </w:r>
          </w:p>
        </w:tc>
        <w:tc>
          <w:tcPr>
            <w:tcW w:w="18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实际抽样批次</w:t>
            </w:r>
          </w:p>
        </w:tc>
        <w:tc>
          <w:tcPr>
            <w:tcW w:w="193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不合格样品批次</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不合格率</w:t>
            </w:r>
          </w:p>
        </w:tc>
      </w:tr>
      <w:tr w:rsidR="003364EF">
        <w:trPr>
          <w:trHeight w:val="151"/>
          <w:tblCellSpacing w:w="0" w:type="dxa"/>
          <w:jc w:val="center"/>
        </w:trPr>
        <w:tc>
          <w:tcPr>
            <w:tcW w:w="54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c>
          <w:tcPr>
            <w:tcW w:w="127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阳城县</w:t>
            </w:r>
          </w:p>
        </w:tc>
        <w:tc>
          <w:tcPr>
            <w:tcW w:w="18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26</w:t>
            </w:r>
          </w:p>
        </w:tc>
        <w:tc>
          <w:tcPr>
            <w:tcW w:w="19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3</w:t>
            </w:r>
          </w:p>
        </w:tc>
        <w:tc>
          <w:tcPr>
            <w:tcW w:w="1590"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11.54%</w:t>
            </w:r>
          </w:p>
        </w:tc>
      </w:tr>
      <w:tr w:rsidR="003364EF">
        <w:trPr>
          <w:trHeight w:val="271"/>
          <w:tblCellSpacing w:w="0" w:type="dxa"/>
          <w:jc w:val="center"/>
        </w:trPr>
        <w:tc>
          <w:tcPr>
            <w:tcW w:w="54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w:t>
            </w:r>
          </w:p>
        </w:tc>
        <w:tc>
          <w:tcPr>
            <w:tcW w:w="127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开发区</w:t>
            </w:r>
          </w:p>
        </w:tc>
        <w:tc>
          <w:tcPr>
            <w:tcW w:w="18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28</w:t>
            </w:r>
          </w:p>
        </w:tc>
        <w:tc>
          <w:tcPr>
            <w:tcW w:w="19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3</w:t>
            </w:r>
          </w:p>
        </w:tc>
        <w:tc>
          <w:tcPr>
            <w:tcW w:w="1590"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10.71%</w:t>
            </w:r>
          </w:p>
        </w:tc>
      </w:tr>
      <w:tr w:rsidR="003364EF">
        <w:trPr>
          <w:trHeight w:val="345"/>
          <w:tblCellSpacing w:w="0" w:type="dxa"/>
          <w:jc w:val="center"/>
        </w:trPr>
        <w:tc>
          <w:tcPr>
            <w:tcW w:w="54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3</w:t>
            </w:r>
          </w:p>
        </w:tc>
        <w:tc>
          <w:tcPr>
            <w:tcW w:w="127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城区</w:t>
            </w:r>
          </w:p>
        </w:tc>
        <w:tc>
          <w:tcPr>
            <w:tcW w:w="18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59</w:t>
            </w:r>
          </w:p>
        </w:tc>
        <w:tc>
          <w:tcPr>
            <w:tcW w:w="19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4</w:t>
            </w:r>
          </w:p>
        </w:tc>
        <w:tc>
          <w:tcPr>
            <w:tcW w:w="1590"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6.78%</w:t>
            </w:r>
          </w:p>
        </w:tc>
      </w:tr>
      <w:tr w:rsidR="003364EF">
        <w:trPr>
          <w:trHeight w:val="211"/>
          <w:tblCellSpacing w:w="0" w:type="dxa"/>
          <w:jc w:val="center"/>
        </w:trPr>
        <w:tc>
          <w:tcPr>
            <w:tcW w:w="54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4</w:t>
            </w:r>
          </w:p>
        </w:tc>
        <w:tc>
          <w:tcPr>
            <w:tcW w:w="127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沁水县</w:t>
            </w:r>
          </w:p>
        </w:tc>
        <w:tc>
          <w:tcPr>
            <w:tcW w:w="18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33</w:t>
            </w:r>
          </w:p>
        </w:tc>
        <w:tc>
          <w:tcPr>
            <w:tcW w:w="193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6.06%</w:t>
            </w:r>
          </w:p>
        </w:tc>
      </w:tr>
      <w:tr w:rsidR="003364EF">
        <w:trPr>
          <w:trHeight w:val="286"/>
          <w:tblCellSpacing w:w="0" w:type="dxa"/>
          <w:jc w:val="center"/>
        </w:trPr>
        <w:tc>
          <w:tcPr>
            <w:tcW w:w="54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5</w:t>
            </w:r>
          </w:p>
        </w:tc>
        <w:tc>
          <w:tcPr>
            <w:tcW w:w="127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陵川县</w:t>
            </w:r>
          </w:p>
        </w:tc>
        <w:tc>
          <w:tcPr>
            <w:tcW w:w="18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62</w:t>
            </w:r>
          </w:p>
        </w:tc>
        <w:tc>
          <w:tcPr>
            <w:tcW w:w="193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3</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4.84%</w:t>
            </w:r>
          </w:p>
        </w:tc>
      </w:tr>
      <w:tr w:rsidR="003364EF">
        <w:trPr>
          <w:trHeight w:val="286"/>
          <w:tblCellSpacing w:w="0" w:type="dxa"/>
          <w:jc w:val="center"/>
        </w:trPr>
        <w:tc>
          <w:tcPr>
            <w:tcW w:w="54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6</w:t>
            </w:r>
          </w:p>
        </w:tc>
        <w:tc>
          <w:tcPr>
            <w:tcW w:w="127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泽州县</w:t>
            </w:r>
          </w:p>
        </w:tc>
        <w:tc>
          <w:tcPr>
            <w:tcW w:w="189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112</w:t>
            </w:r>
          </w:p>
        </w:tc>
        <w:tc>
          <w:tcPr>
            <w:tcW w:w="193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5</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4.46%</w:t>
            </w:r>
          </w:p>
        </w:tc>
      </w:tr>
      <w:tr w:rsidR="003364EF">
        <w:trPr>
          <w:trHeight w:val="256"/>
          <w:tblCellSpacing w:w="0" w:type="dxa"/>
          <w:jc w:val="center"/>
        </w:trPr>
        <w:tc>
          <w:tcPr>
            <w:tcW w:w="54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7</w:t>
            </w:r>
          </w:p>
        </w:tc>
        <w:tc>
          <w:tcPr>
            <w:tcW w:w="127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高平</w:t>
            </w:r>
          </w:p>
        </w:tc>
        <w:tc>
          <w:tcPr>
            <w:tcW w:w="18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80</w:t>
            </w:r>
          </w:p>
        </w:tc>
        <w:tc>
          <w:tcPr>
            <w:tcW w:w="19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c>
          <w:tcPr>
            <w:tcW w:w="1590"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1.25%</w:t>
            </w:r>
          </w:p>
        </w:tc>
      </w:tr>
      <w:tr w:rsidR="003364EF">
        <w:trPr>
          <w:trHeight w:val="196"/>
          <w:tblCellSpacing w:w="0" w:type="dxa"/>
          <w:jc w:val="center"/>
        </w:trPr>
        <w:tc>
          <w:tcPr>
            <w:tcW w:w="2025" w:type="dxa"/>
            <w:gridSpan w:val="2"/>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合计</w:t>
            </w:r>
          </w:p>
        </w:tc>
        <w:tc>
          <w:tcPr>
            <w:tcW w:w="189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400</w:t>
            </w:r>
          </w:p>
        </w:tc>
        <w:tc>
          <w:tcPr>
            <w:tcW w:w="19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21</w:t>
            </w:r>
          </w:p>
        </w:tc>
        <w:tc>
          <w:tcPr>
            <w:tcW w:w="1590"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5.25%</w:t>
            </w:r>
          </w:p>
        </w:tc>
      </w:tr>
    </w:tbl>
    <w:p w:rsidR="003364EF" w:rsidRDefault="009C0C61">
      <w:pPr>
        <w:pStyle w:val="a3"/>
        <w:widowControl/>
        <w:shd w:val="clear" w:color="auto" w:fill="FFFFFF"/>
        <w:spacing w:beforeAutospacing="0" w:afterAutospacing="0" w:line="630" w:lineRule="atLeast"/>
        <w:rPr>
          <w:rFonts w:ascii="����" w:eastAsia="����" w:hAnsi="����" w:cs="����"/>
          <w:color w:val="404040"/>
          <w:sz w:val="21"/>
          <w:szCs w:val="21"/>
        </w:rPr>
      </w:pPr>
      <w:r>
        <w:rPr>
          <w:rFonts w:ascii="微软雅黑" w:eastAsia="微软雅黑" w:hAnsi="微软雅黑" w:cs="微软雅黑" w:hint="eastAsia"/>
          <w:color w:val="404040"/>
          <w:shd w:val="clear" w:color="auto" w:fill="FFFFFF"/>
        </w:rPr>
        <w:t> </w:t>
      </w:r>
    </w:p>
    <w:p w:rsidR="003364EF" w:rsidRDefault="009C0C61">
      <w:pPr>
        <w:pStyle w:val="a3"/>
        <w:widowControl/>
        <w:shd w:val="clear" w:color="auto" w:fill="FFFFFF"/>
        <w:spacing w:beforeAutospacing="0" w:afterAutospacing="0" w:line="630" w:lineRule="atLeast"/>
        <w:jc w:val="center"/>
        <w:rPr>
          <w:rFonts w:ascii="����" w:eastAsia="����" w:hAnsi="����" w:cs="����"/>
          <w:color w:val="404040"/>
          <w:sz w:val="21"/>
          <w:szCs w:val="21"/>
        </w:rPr>
      </w:pPr>
      <w:r>
        <w:rPr>
          <w:rFonts w:ascii="����" w:eastAsia="����" w:hAnsi="����" w:cs="����"/>
          <w:noProof/>
          <w:color w:val="404040"/>
          <w:sz w:val="21"/>
          <w:szCs w:val="21"/>
          <w:shd w:val="clear" w:color="auto" w:fill="FFFFFF"/>
        </w:rPr>
        <w:lastRenderedPageBreak/>
        <w:drawing>
          <wp:inline distT="0" distB="0" distL="114300" distR="114300">
            <wp:extent cx="5772150" cy="32385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772150" cy="3238500"/>
                    </a:xfrm>
                    <a:prstGeom prst="rect">
                      <a:avLst/>
                    </a:prstGeom>
                    <a:noFill/>
                    <a:ln w="9525">
                      <a:noFill/>
                    </a:ln>
                  </pic:spPr>
                </pic:pic>
              </a:graphicData>
            </a:graphic>
          </wp:inline>
        </w:drawing>
      </w:r>
    </w:p>
    <w:p w:rsidR="003364EF" w:rsidRDefault="009C0C61">
      <w:pPr>
        <w:pStyle w:val="a3"/>
        <w:widowControl/>
        <w:shd w:val="clear" w:color="auto" w:fill="FFFFFF"/>
        <w:spacing w:beforeAutospacing="0" w:afterAutospacing="0" w:line="630" w:lineRule="atLeast"/>
        <w:ind w:left="418" w:hanging="216"/>
        <w:rPr>
          <w:rFonts w:ascii="����" w:eastAsia="����" w:hAnsi="����" w:cs="����"/>
          <w:color w:val="404040"/>
          <w:sz w:val="21"/>
          <w:szCs w:val="21"/>
        </w:rPr>
      </w:pPr>
      <w:r>
        <w:rPr>
          <w:rFonts w:ascii="微软雅黑" w:eastAsia="微软雅黑" w:hAnsi="微软雅黑" w:cs="微软雅黑" w:hint="eastAsia"/>
          <w:color w:val="404040"/>
          <w:shd w:val="clear" w:color="auto" w:fill="FFFFFF"/>
        </w:rPr>
        <w:t>    从以上图表可以看出，本次专项抽检抽样区域涵盖阳城县、开发区、城区、沁水县、陵川县、泽州县、高平市共</w:t>
      </w:r>
      <w:r>
        <w:rPr>
          <w:rFonts w:ascii="微软雅黑" w:eastAsia="微软雅黑" w:hAnsi="微软雅黑" w:cs="微软雅黑" w:hint="eastAsia"/>
          <w:color w:val="404040"/>
          <w:shd w:val="clear" w:color="auto" w:fill="FFFFFF"/>
        </w:rPr>
        <w:t>7</w:t>
      </w:r>
      <w:r>
        <w:rPr>
          <w:rFonts w:ascii="微软雅黑" w:eastAsia="微软雅黑" w:hAnsi="微软雅黑" w:cs="微软雅黑" w:hint="eastAsia"/>
          <w:color w:val="404040"/>
          <w:shd w:val="clear" w:color="auto" w:fill="FFFFFF"/>
        </w:rPr>
        <w:t>个区域。其中阳城县的不合格率最高，抽检样品</w:t>
      </w:r>
      <w:r>
        <w:rPr>
          <w:rFonts w:ascii="微软雅黑" w:eastAsia="微软雅黑" w:hAnsi="微软雅黑" w:cs="微软雅黑" w:hint="eastAsia"/>
          <w:color w:val="404040"/>
          <w:shd w:val="clear" w:color="auto" w:fill="FFFFFF"/>
        </w:rPr>
        <w:t>26</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3</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11.54%</w:t>
      </w:r>
      <w:r>
        <w:rPr>
          <w:rFonts w:ascii="微软雅黑" w:eastAsia="微软雅黑" w:hAnsi="微软雅黑" w:cs="微软雅黑" w:hint="eastAsia"/>
          <w:color w:val="404040"/>
          <w:shd w:val="clear" w:color="auto" w:fill="FFFFFF"/>
        </w:rPr>
        <w:t>；开发区抽检样品</w:t>
      </w:r>
      <w:r>
        <w:rPr>
          <w:rFonts w:ascii="微软雅黑" w:eastAsia="微软雅黑" w:hAnsi="微软雅黑" w:cs="微软雅黑" w:hint="eastAsia"/>
          <w:color w:val="404040"/>
          <w:shd w:val="clear" w:color="auto" w:fill="FFFFFF"/>
        </w:rPr>
        <w:t>28</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3</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10.71%</w:t>
      </w:r>
      <w:r>
        <w:rPr>
          <w:rFonts w:ascii="微软雅黑" w:eastAsia="微软雅黑" w:hAnsi="微软雅黑" w:cs="微软雅黑" w:hint="eastAsia"/>
          <w:color w:val="404040"/>
          <w:shd w:val="clear" w:color="auto" w:fill="FFFFFF"/>
        </w:rPr>
        <w:t>；城区抽检样品</w:t>
      </w:r>
      <w:r>
        <w:rPr>
          <w:rFonts w:ascii="微软雅黑" w:eastAsia="微软雅黑" w:hAnsi="微软雅黑" w:cs="微软雅黑" w:hint="eastAsia"/>
          <w:color w:val="404040"/>
          <w:shd w:val="clear" w:color="auto" w:fill="FFFFFF"/>
        </w:rPr>
        <w:t>59</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6.78%</w:t>
      </w:r>
      <w:r>
        <w:rPr>
          <w:rFonts w:ascii="微软雅黑" w:eastAsia="微软雅黑" w:hAnsi="微软雅黑" w:cs="微软雅黑" w:hint="eastAsia"/>
          <w:color w:val="404040"/>
          <w:shd w:val="clear" w:color="auto" w:fill="FFFFFF"/>
        </w:rPr>
        <w:t>；沁水县抽检样品</w:t>
      </w:r>
      <w:r>
        <w:rPr>
          <w:rFonts w:ascii="微软雅黑" w:eastAsia="微软雅黑" w:hAnsi="微软雅黑" w:cs="微软雅黑" w:hint="eastAsia"/>
          <w:color w:val="404040"/>
          <w:shd w:val="clear" w:color="auto" w:fill="FFFFFF"/>
        </w:rPr>
        <w:t>33</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2</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6.06%</w:t>
      </w:r>
      <w:r>
        <w:rPr>
          <w:rFonts w:ascii="微软雅黑" w:eastAsia="微软雅黑" w:hAnsi="微软雅黑" w:cs="微软雅黑" w:hint="eastAsia"/>
          <w:color w:val="404040"/>
          <w:shd w:val="clear" w:color="auto" w:fill="FFFFFF"/>
        </w:rPr>
        <w:t>；陵川县抽检样品</w:t>
      </w:r>
      <w:r>
        <w:rPr>
          <w:rFonts w:ascii="微软雅黑" w:eastAsia="微软雅黑" w:hAnsi="微软雅黑" w:cs="微软雅黑" w:hint="eastAsia"/>
          <w:color w:val="404040"/>
          <w:shd w:val="clear" w:color="auto" w:fill="FFFFFF"/>
        </w:rPr>
        <w:t>62</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3</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4.84%</w:t>
      </w:r>
      <w:r>
        <w:rPr>
          <w:rFonts w:ascii="微软雅黑" w:eastAsia="微软雅黑" w:hAnsi="微软雅黑" w:cs="微软雅黑" w:hint="eastAsia"/>
          <w:color w:val="404040"/>
          <w:shd w:val="clear" w:color="auto" w:fill="FFFFFF"/>
        </w:rPr>
        <w:t>；泽州县抽检样品</w:t>
      </w:r>
      <w:r>
        <w:rPr>
          <w:rFonts w:ascii="微软雅黑" w:eastAsia="微软雅黑" w:hAnsi="微软雅黑" w:cs="微软雅黑" w:hint="eastAsia"/>
          <w:color w:val="404040"/>
          <w:shd w:val="clear" w:color="auto" w:fill="FFFFFF"/>
        </w:rPr>
        <w:t>112</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5</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4.46%</w:t>
      </w:r>
      <w:r>
        <w:rPr>
          <w:rFonts w:ascii="微软雅黑" w:eastAsia="微软雅黑" w:hAnsi="微软雅黑" w:cs="微软雅黑" w:hint="eastAsia"/>
          <w:color w:val="404040"/>
          <w:shd w:val="clear" w:color="auto" w:fill="FFFFFF"/>
        </w:rPr>
        <w:t>；高平市抽检样品</w:t>
      </w:r>
      <w:r>
        <w:rPr>
          <w:rFonts w:ascii="微软雅黑" w:eastAsia="微软雅黑" w:hAnsi="微软雅黑" w:cs="微软雅黑" w:hint="eastAsia"/>
          <w:color w:val="404040"/>
          <w:shd w:val="clear" w:color="auto" w:fill="FFFFFF"/>
        </w:rPr>
        <w:t>80</w:t>
      </w:r>
      <w:r>
        <w:rPr>
          <w:rFonts w:ascii="微软雅黑" w:eastAsia="微软雅黑" w:hAnsi="微软雅黑" w:cs="微软雅黑" w:hint="eastAsia"/>
          <w:color w:val="404040"/>
          <w:shd w:val="clear" w:color="auto" w:fill="FFFFFF"/>
        </w:rPr>
        <w:t>批次，不合格样品</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批次，不合格率为</w:t>
      </w:r>
      <w:r>
        <w:rPr>
          <w:rFonts w:ascii="微软雅黑" w:eastAsia="微软雅黑" w:hAnsi="微软雅黑" w:cs="微软雅黑" w:hint="eastAsia"/>
          <w:color w:val="404040"/>
          <w:shd w:val="clear" w:color="auto" w:fill="FFFFFF"/>
        </w:rPr>
        <w:t>1.25%</w:t>
      </w:r>
      <w:r>
        <w:rPr>
          <w:rFonts w:ascii="微软雅黑" w:eastAsia="微软雅黑" w:hAnsi="微软雅黑" w:cs="微软雅黑" w:hint="eastAsia"/>
          <w:color w:val="404040"/>
          <w:shd w:val="clear" w:color="auto" w:fill="FFFFFF"/>
        </w:rPr>
        <w:t>。</w:t>
      </w:r>
    </w:p>
    <w:p w:rsidR="003364EF" w:rsidRDefault="009C0C61">
      <w:pPr>
        <w:pStyle w:val="a3"/>
        <w:widowControl/>
        <w:shd w:val="clear" w:color="auto" w:fill="FFFFFF"/>
        <w:spacing w:beforeAutospacing="0" w:afterAutospacing="0" w:line="630" w:lineRule="atLeast"/>
        <w:ind w:left="619" w:right="619"/>
        <w:rPr>
          <w:rFonts w:ascii="����" w:eastAsia="����" w:hAnsi="����" w:cs="����"/>
          <w:color w:val="404040"/>
          <w:sz w:val="21"/>
          <w:szCs w:val="21"/>
        </w:rPr>
      </w:pPr>
      <w:r>
        <w:rPr>
          <w:rStyle w:val="a4"/>
          <w:rFonts w:ascii="微软雅黑" w:eastAsia="微软雅黑" w:hAnsi="微软雅黑" w:cs="微软雅黑" w:hint="eastAsia"/>
          <w:color w:val="404040"/>
          <w:shd w:val="clear" w:color="auto" w:fill="FFFFFF"/>
        </w:rPr>
        <w:t>（四）不合格食品抽检结果分析</w:t>
      </w:r>
    </w:p>
    <w:tbl>
      <w:tblPr>
        <w:tblW w:w="8490" w:type="dxa"/>
        <w:jc w:val="center"/>
        <w:tblCellSpacing w:w="0" w:type="dxa"/>
        <w:tblCellMar>
          <w:left w:w="0" w:type="dxa"/>
          <w:right w:w="0" w:type="dxa"/>
        </w:tblCellMar>
        <w:tblLook w:val="04A0"/>
      </w:tblPr>
      <w:tblGrid>
        <w:gridCol w:w="1299"/>
        <w:gridCol w:w="4277"/>
        <w:gridCol w:w="1853"/>
        <w:gridCol w:w="1061"/>
      </w:tblGrid>
      <w:tr w:rsidR="003364EF">
        <w:trPr>
          <w:trHeight w:val="495"/>
          <w:tblCellSpacing w:w="0" w:type="dxa"/>
          <w:jc w:val="center"/>
        </w:trPr>
        <w:tc>
          <w:tcPr>
            <w:tcW w:w="123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不合格项目所属类别</w:t>
            </w:r>
          </w:p>
        </w:tc>
        <w:tc>
          <w:tcPr>
            <w:tcW w:w="4050"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不合格项目</w:t>
            </w:r>
          </w:p>
        </w:tc>
        <w:tc>
          <w:tcPr>
            <w:tcW w:w="1335" w:type="dxa"/>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w:t>
            </w:r>
          </w:p>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食品细类</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不合格</w:t>
            </w:r>
          </w:p>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样品批次</w:t>
            </w:r>
          </w:p>
        </w:tc>
      </w:tr>
      <w:tr w:rsidR="003364EF">
        <w:trPr>
          <w:tblCellSpacing w:w="0" w:type="dxa"/>
          <w:jc w:val="center"/>
        </w:trPr>
        <w:tc>
          <w:tcPr>
            <w:tcW w:w="1230" w:type="dxa"/>
            <w:vMerge w:val="restart"/>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lastRenderedPageBreak/>
              <w:t>农药残留</w:t>
            </w: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腐霉利</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韭菜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11</w:t>
            </w:r>
          </w:p>
        </w:tc>
      </w:tr>
      <w:tr w:rsidR="003364EF">
        <w:trPr>
          <w:tblCellSpacing w:w="0" w:type="dxa"/>
          <w:jc w:val="center"/>
        </w:trPr>
        <w:tc>
          <w:tcPr>
            <w:tcW w:w="1230" w:type="dxa"/>
            <w:vMerge/>
            <w:tcBorders>
              <w:top w:val="nil"/>
              <w:left w:val="single" w:sz="6" w:space="0" w:color="auto"/>
              <w:bottom w:val="single" w:sz="6" w:space="0" w:color="auto"/>
              <w:right w:val="nil"/>
            </w:tcBorders>
            <w:shd w:val="clear" w:color="auto" w:fill="auto"/>
            <w:tcMar>
              <w:left w:w="115" w:type="dxa"/>
            </w:tcMar>
            <w:vAlign w:val="center"/>
          </w:tcPr>
          <w:p w:rsidR="003364EF" w:rsidRDefault="003364EF">
            <w:pPr>
              <w:rPr>
                <w:rFonts w:ascii="宋体"/>
                <w:sz w:val="24"/>
              </w:rPr>
            </w:pP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克百威</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草莓、豇豆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w:t>
            </w:r>
          </w:p>
        </w:tc>
      </w:tr>
      <w:tr w:rsidR="003364EF">
        <w:trPr>
          <w:tblCellSpacing w:w="0" w:type="dxa"/>
          <w:jc w:val="center"/>
        </w:trPr>
        <w:tc>
          <w:tcPr>
            <w:tcW w:w="1230" w:type="dxa"/>
            <w:vMerge/>
            <w:tcBorders>
              <w:top w:val="nil"/>
              <w:left w:val="single" w:sz="6" w:space="0" w:color="auto"/>
              <w:bottom w:val="single" w:sz="6" w:space="0" w:color="auto"/>
              <w:right w:val="nil"/>
            </w:tcBorders>
            <w:shd w:val="clear" w:color="auto" w:fill="auto"/>
            <w:tcMar>
              <w:left w:w="115" w:type="dxa"/>
            </w:tcMar>
            <w:vAlign w:val="center"/>
          </w:tcPr>
          <w:p w:rsidR="003364EF" w:rsidRDefault="003364EF">
            <w:pPr>
              <w:rPr>
                <w:rFonts w:ascii="宋体"/>
                <w:sz w:val="24"/>
              </w:rPr>
            </w:pP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4-</w:t>
            </w:r>
            <w:r>
              <w:rPr>
                <w:rFonts w:ascii="微软雅黑" w:eastAsia="微软雅黑" w:hAnsi="微软雅黑" w:cs="微软雅黑" w:hint="eastAsia"/>
              </w:rPr>
              <w:t>氯苯氧乙酸钠（以</w:t>
            </w:r>
            <w:r>
              <w:rPr>
                <w:rFonts w:ascii="微软雅黑" w:eastAsia="微软雅黑" w:hAnsi="微软雅黑" w:cs="微软雅黑" w:hint="eastAsia"/>
              </w:rPr>
              <w:t>4-</w:t>
            </w:r>
            <w:r>
              <w:rPr>
                <w:rFonts w:ascii="微软雅黑" w:eastAsia="微软雅黑" w:hAnsi="微软雅黑" w:cs="微软雅黑" w:hint="eastAsia"/>
              </w:rPr>
              <w:t>氯苯氧乙酸计）</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豆芽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r>
      <w:tr w:rsidR="003364EF">
        <w:trPr>
          <w:tblCellSpacing w:w="0" w:type="dxa"/>
          <w:jc w:val="center"/>
        </w:trPr>
        <w:tc>
          <w:tcPr>
            <w:tcW w:w="1230" w:type="dxa"/>
            <w:vMerge/>
            <w:tcBorders>
              <w:top w:val="nil"/>
              <w:left w:val="single" w:sz="6" w:space="0" w:color="auto"/>
              <w:bottom w:val="single" w:sz="6" w:space="0" w:color="auto"/>
              <w:right w:val="nil"/>
            </w:tcBorders>
            <w:shd w:val="clear" w:color="auto" w:fill="auto"/>
            <w:tcMar>
              <w:left w:w="115" w:type="dxa"/>
            </w:tcMar>
            <w:vAlign w:val="center"/>
          </w:tcPr>
          <w:p w:rsidR="003364EF" w:rsidRDefault="003364EF">
            <w:pPr>
              <w:rPr>
                <w:rFonts w:ascii="宋体"/>
                <w:sz w:val="24"/>
              </w:rPr>
            </w:pP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氟虫腈</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油麦菜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r>
      <w:tr w:rsidR="003364EF">
        <w:trPr>
          <w:tblCellSpacing w:w="0" w:type="dxa"/>
          <w:jc w:val="center"/>
        </w:trPr>
        <w:tc>
          <w:tcPr>
            <w:tcW w:w="1230" w:type="dxa"/>
            <w:vMerge/>
            <w:tcBorders>
              <w:top w:val="nil"/>
              <w:left w:val="single" w:sz="6" w:space="0" w:color="auto"/>
              <w:bottom w:val="single" w:sz="6" w:space="0" w:color="auto"/>
              <w:right w:val="nil"/>
            </w:tcBorders>
            <w:shd w:val="clear" w:color="auto" w:fill="auto"/>
            <w:tcMar>
              <w:left w:w="115" w:type="dxa"/>
            </w:tcMar>
            <w:vAlign w:val="center"/>
          </w:tcPr>
          <w:p w:rsidR="003364EF" w:rsidRDefault="003364EF">
            <w:pPr>
              <w:rPr>
                <w:rFonts w:ascii="宋体"/>
                <w:sz w:val="24"/>
              </w:rPr>
            </w:pP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甲拌磷</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芹菜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r>
      <w:tr w:rsidR="003364EF">
        <w:trPr>
          <w:tblCellSpacing w:w="0" w:type="dxa"/>
          <w:jc w:val="center"/>
        </w:trPr>
        <w:tc>
          <w:tcPr>
            <w:tcW w:w="1230" w:type="dxa"/>
            <w:vMerge/>
            <w:tcBorders>
              <w:top w:val="nil"/>
              <w:left w:val="single" w:sz="6" w:space="0" w:color="auto"/>
              <w:bottom w:val="single" w:sz="6" w:space="0" w:color="auto"/>
              <w:right w:val="nil"/>
            </w:tcBorders>
            <w:shd w:val="clear" w:color="auto" w:fill="auto"/>
            <w:tcMar>
              <w:left w:w="115" w:type="dxa"/>
            </w:tcMar>
            <w:vAlign w:val="center"/>
          </w:tcPr>
          <w:p w:rsidR="003364EF" w:rsidRDefault="003364EF">
            <w:pPr>
              <w:rPr>
                <w:rFonts w:ascii="宋体"/>
                <w:sz w:val="24"/>
              </w:rPr>
            </w:pP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氧乐果</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菜豆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r>
      <w:tr w:rsidR="003364EF">
        <w:trPr>
          <w:tblCellSpacing w:w="0" w:type="dxa"/>
          <w:jc w:val="center"/>
        </w:trPr>
        <w:tc>
          <w:tcPr>
            <w:tcW w:w="1230" w:type="dxa"/>
            <w:vMerge w:val="restart"/>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兽药残留</w:t>
            </w: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地西泮</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淡水鱼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w:t>
            </w:r>
          </w:p>
        </w:tc>
      </w:tr>
      <w:tr w:rsidR="003364EF">
        <w:trPr>
          <w:tblCellSpacing w:w="0" w:type="dxa"/>
          <w:jc w:val="center"/>
        </w:trPr>
        <w:tc>
          <w:tcPr>
            <w:tcW w:w="1230" w:type="dxa"/>
            <w:vMerge/>
            <w:tcBorders>
              <w:top w:val="nil"/>
              <w:left w:val="single" w:sz="6" w:space="0" w:color="auto"/>
              <w:bottom w:val="single" w:sz="6" w:space="0" w:color="auto"/>
              <w:right w:val="nil"/>
            </w:tcBorders>
            <w:shd w:val="clear" w:color="auto" w:fill="auto"/>
            <w:tcMar>
              <w:left w:w="115" w:type="dxa"/>
            </w:tcMar>
            <w:vAlign w:val="center"/>
          </w:tcPr>
          <w:p w:rsidR="003364EF" w:rsidRDefault="003364EF">
            <w:pPr>
              <w:rPr>
                <w:rFonts w:ascii="宋体"/>
                <w:sz w:val="24"/>
              </w:rPr>
            </w:pP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地塞米松</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牛肉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r>
      <w:tr w:rsidR="003364EF">
        <w:trPr>
          <w:trHeight w:val="106"/>
          <w:tblCellSpacing w:w="0" w:type="dxa"/>
          <w:jc w:val="center"/>
        </w:trPr>
        <w:tc>
          <w:tcPr>
            <w:tcW w:w="123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重金属</w:t>
            </w:r>
          </w:p>
        </w:tc>
        <w:tc>
          <w:tcPr>
            <w:tcW w:w="4050"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镉（以</w:t>
            </w:r>
            <w:r>
              <w:rPr>
                <w:rFonts w:ascii="微软雅黑" w:eastAsia="微软雅黑" w:hAnsi="微软雅黑" w:cs="微软雅黑" w:hint="eastAsia"/>
              </w:rPr>
              <w:t>Cd</w:t>
            </w:r>
            <w:r>
              <w:rPr>
                <w:rFonts w:ascii="微软雅黑" w:eastAsia="微软雅黑" w:hAnsi="微软雅黑" w:cs="微软雅黑" w:hint="eastAsia"/>
              </w:rPr>
              <w:t>计）</w:t>
            </w:r>
          </w:p>
        </w:tc>
        <w:tc>
          <w:tcPr>
            <w:tcW w:w="1335" w:type="dxa"/>
            <w:tcBorders>
              <w:top w:val="nil"/>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 xml:space="preserve">海水蟹　</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1</w:t>
            </w:r>
          </w:p>
        </w:tc>
      </w:tr>
      <w:tr w:rsidR="003364EF">
        <w:trPr>
          <w:trHeight w:val="91"/>
          <w:tblCellSpacing w:w="0" w:type="dxa"/>
          <w:jc w:val="center"/>
        </w:trPr>
        <w:tc>
          <w:tcPr>
            <w:tcW w:w="7035" w:type="dxa"/>
            <w:gridSpan w:val="3"/>
            <w:tcBorders>
              <w:top w:val="single" w:sz="6" w:space="0" w:color="auto"/>
              <w:left w:val="single" w:sz="6" w:space="0" w:color="auto"/>
              <w:bottom w:val="single" w:sz="6" w:space="0" w:color="auto"/>
              <w:right w:val="nil"/>
            </w:tcBorders>
            <w:shd w:val="clear" w:color="auto" w:fill="auto"/>
            <w:tcMar>
              <w:lef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合计</w:t>
            </w:r>
          </w:p>
        </w:tc>
        <w:tc>
          <w:tcPr>
            <w:tcW w:w="1005" w:type="dxa"/>
            <w:tcBorders>
              <w:top w:val="nil"/>
              <w:left w:val="single" w:sz="6" w:space="0" w:color="auto"/>
              <w:bottom w:val="single" w:sz="6" w:space="0" w:color="auto"/>
              <w:right w:val="single" w:sz="6" w:space="0" w:color="auto"/>
            </w:tcBorders>
            <w:shd w:val="clear" w:color="auto" w:fill="auto"/>
            <w:tcMar>
              <w:left w:w="115" w:type="dxa"/>
              <w:right w:w="115" w:type="dxa"/>
            </w:tcMar>
            <w:vAlign w:val="center"/>
          </w:tcPr>
          <w:p w:rsidR="003364EF" w:rsidRDefault="009C0C61">
            <w:pPr>
              <w:pStyle w:val="a3"/>
              <w:widowControl/>
              <w:spacing w:beforeAutospacing="0" w:afterAutospacing="0" w:line="630" w:lineRule="atLeast"/>
              <w:jc w:val="center"/>
            </w:pPr>
            <w:r>
              <w:rPr>
                <w:rFonts w:ascii="微软雅黑" w:eastAsia="微软雅黑" w:hAnsi="微软雅黑" w:cs="微软雅黑" w:hint="eastAsia"/>
              </w:rPr>
              <w:t>21</w:t>
            </w:r>
          </w:p>
        </w:tc>
      </w:tr>
    </w:tbl>
    <w:p w:rsidR="003364EF" w:rsidRDefault="009C0C61">
      <w:pPr>
        <w:pStyle w:val="a3"/>
        <w:widowControl/>
        <w:shd w:val="clear" w:color="auto" w:fill="FFFFFF"/>
        <w:spacing w:beforeAutospacing="0" w:afterAutospacing="0" w:line="630" w:lineRule="atLeast"/>
        <w:jc w:val="center"/>
        <w:rPr>
          <w:rFonts w:ascii="����" w:eastAsia="����" w:hAnsi="����" w:cs="����"/>
          <w:color w:val="404040"/>
          <w:sz w:val="21"/>
          <w:szCs w:val="21"/>
        </w:rPr>
      </w:pPr>
      <w:r>
        <w:rPr>
          <w:rFonts w:ascii="����" w:eastAsia="����" w:hAnsi="����" w:cs="����"/>
          <w:noProof/>
          <w:color w:val="404040"/>
          <w:sz w:val="21"/>
          <w:szCs w:val="21"/>
          <w:shd w:val="clear" w:color="auto" w:fill="FFFFFF"/>
        </w:rPr>
        <w:drawing>
          <wp:inline distT="0" distB="0" distL="114300" distR="114300">
            <wp:extent cx="5505450" cy="321945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5505450" cy="3219450"/>
                    </a:xfrm>
                    <a:prstGeom prst="rect">
                      <a:avLst/>
                    </a:prstGeom>
                    <a:noFill/>
                    <a:ln w="9525">
                      <a:noFill/>
                    </a:ln>
                  </pic:spPr>
                </pic:pic>
              </a:graphicData>
            </a:graphic>
          </wp:inline>
        </w:drawing>
      </w:r>
    </w:p>
    <w:p w:rsidR="003364EF" w:rsidRDefault="009C0C61">
      <w:pPr>
        <w:pStyle w:val="a3"/>
        <w:widowControl/>
        <w:shd w:val="clear" w:color="auto" w:fill="FFFFFF"/>
        <w:spacing w:beforeAutospacing="0" w:afterAutospacing="0" w:line="630" w:lineRule="atLeast"/>
        <w:ind w:left="835" w:hanging="418"/>
        <w:rPr>
          <w:rFonts w:ascii="����" w:eastAsia="����" w:hAnsi="����" w:cs="����"/>
          <w:color w:val="404040"/>
          <w:sz w:val="21"/>
          <w:szCs w:val="21"/>
        </w:rPr>
      </w:pPr>
      <w:r>
        <w:rPr>
          <w:rFonts w:ascii="微软雅黑" w:eastAsia="微软雅黑" w:hAnsi="微软雅黑" w:cs="微软雅黑" w:hint="eastAsia"/>
          <w:color w:val="404040"/>
          <w:shd w:val="clear" w:color="auto" w:fill="FFFFFF"/>
        </w:rPr>
        <w:t> </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从以上图表可以看出，抽检不合格项目中农药残留超标、兽药残留超标、重金属污染问题，分别占不合格样品总量的</w:t>
      </w:r>
      <w:r>
        <w:rPr>
          <w:rFonts w:ascii="微软雅黑" w:eastAsia="微软雅黑" w:hAnsi="微软雅黑" w:cs="微软雅黑" w:hint="eastAsia"/>
          <w:color w:val="404040"/>
          <w:shd w:val="clear" w:color="auto" w:fill="FFFFFF"/>
        </w:rPr>
        <w:t>80.95%</w:t>
      </w: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14.29%</w:t>
      </w: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4.76%</w:t>
      </w:r>
      <w:r>
        <w:rPr>
          <w:rFonts w:ascii="微软雅黑" w:eastAsia="微软雅黑" w:hAnsi="微软雅黑" w:cs="微软雅黑" w:hint="eastAsia"/>
          <w:color w:val="404040"/>
          <w:shd w:val="clear" w:color="auto" w:fill="FFFFFF"/>
        </w:rPr>
        <w:t>。</w:t>
      </w:r>
    </w:p>
    <w:p w:rsidR="003364EF" w:rsidRDefault="009C0C61">
      <w:pPr>
        <w:pStyle w:val="a3"/>
        <w:widowControl/>
        <w:shd w:val="clear" w:color="auto" w:fill="FFFFFF"/>
        <w:spacing w:beforeAutospacing="0" w:afterAutospacing="0" w:line="630" w:lineRule="atLeast"/>
        <w:ind w:right="619" w:firstLine="648"/>
        <w:rPr>
          <w:rFonts w:ascii="����" w:eastAsia="����" w:hAnsi="����" w:cs="����"/>
          <w:color w:val="404040"/>
          <w:sz w:val="21"/>
          <w:szCs w:val="21"/>
        </w:rPr>
      </w:pPr>
      <w:r>
        <w:rPr>
          <w:rStyle w:val="a4"/>
          <w:rFonts w:ascii="微软雅黑" w:eastAsia="微软雅黑" w:hAnsi="微软雅黑" w:cs="微软雅黑" w:hint="eastAsia"/>
          <w:color w:val="000000"/>
          <w:shd w:val="clear" w:color="auto" w:fill="FFFFFF"/>
        </w:rPr>
        <w:lastRenderedPageBreak/>
        <w:t>三、食品安全风险分析</w:t>
      </w:r>
      <w:r>
        <w:rPr>
          <w:rFonts w:ascii="微软雅黑" w:eastAsia="微软雅黑" w:hAnsi="微软雅黑" w:cs="微软雅黑" w:hint="eastAsia"/>
          <w:color w:val="000000"/>
          <w:shd w:val="clear" w:color="auto" w:fill="FFFFFF"/>
        </w:rPr>
        <w:t xml:space="preserve">　　</w:t>
      </w:r>
    </w:p>
    <w:p w:rsidR="003364EF" w:rsidRDefault="009C0C61">
      <w:pPr>
        <w:pStyle w:val="a3"/>
        <w:widowControl/>
        <w:shd w:val="clear" w:color="auto" w:fill="FFFFFF"/>
        <w:spacing w:beforeAutospacing="0" w:afterAutospacing="0" w:line="630" w:lineRule="atLeast"/>
        <w:ind w:left="619" w:right="619"/>
        <w:rPr>
          <w:rFonts w:ascii="����" w:eastAsia="����" w:hAnsi="����" w:cs="����"/>
          <w:color w:val="404040"/>
          <w:sz w:val="21"/>
          <w:szCs w:val="21"/>
        </w:rPr>
      </w:pPr>
      <w:r>
        <w:rPr>
          <w:rStyle w:val="a4"/>
          <w:rFonts w:ascii="微软雅黑" w:eastAsia="微软雅黑" w:hAnsi="微软雅黑" w:cs="微软雅黑" w:hint="eastAsia"/>
          <w:color w:val="404040"/>
          <w:shd w:val="clear" w:color="auto" w:fill="FFFFFF"/>
        </w:rPr>
        <w:t>（一）</w:t>
      </w:r>
      <w:r>
        <w:rPr>
          <w:rStyle w:val="a4"/>
          <w:rFonts w:ascii="微软雅黑" w:eastAsia="微软雅黑" w:hAnsi="微软雅黑" w:cs="微软雅黑" w:hint="eastAsia"/>
          <w:color w:val="404040"/>
          <w:shd w:val="clear" w:color="auto" w:fill="FFFFFF"/>
        </w:rPr>
        <w:t xml:space="preserve"> </w:t>
      </w:r>
      <w:r>
        <w:rPr>
          <w:rStyle w:val="a4"/>
          <w:rFonts w:ascii="微软雅黑" w:eastAsia="微软雅黑" w:hAnsi="微软雅黑" w:cs="微软雅黑" w:hint="eastAsia"/>
          <w:color w:val="404040"/>
          <w:shd w:val="clear" w:color="auto" w:fill="FFFFFF"/>
        </w:rPr>
        <w:t>不合格项目分析</w:t>
      </w:r>
    </w:p>
    <w:p w:rsidR="003364EF" w:rsidRDefault="009C0C61">
      <w:pPr>
        <w:pStyle w:val="a3"/>
        <w:widowControl/>
        <w:shd w:val="clear" w:color="auto" w:fill="FFFFFF"/>
        <w:spacing w:beforeAutospacing="0" w:afterAutospacing="0" w:line="630" w:lineRule="atLeast"/>
        <w:ind w:left="619" w:right="619"/>
        <w:rPr>
          <w:rFonts w:ascii="����" w:eastAsia="����" w:hAnsi="����" w:cs="����"/>
          <w:color w:val="404040"/>
          <w:sz w:val="21"/>
          <w:szCs w:val="21"/>
        </w:rPr>
      </w:pP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农药残留</w:t>
      </w:r>
    </w:p>
    <w:p w:rsidR="003364EF" w:rsidRDefault="009C0C61">
      <w:pPr>
        <w:pStyle w:val="a3"/>
        <w:widowControl/>
        <w:shd w:val="clear" w:color="auto" w:fill="FFFFFF"/>
        <w:spacing w:beforeAutospacing="0" w:afterAutospacing="0" w:line="630" w:lineRule="atLeast"/>
        <w:rPr>
          <w:rFonts w:ascii="����" w:eastAsia="����" w:hAnsi="����" w:cs="����"/>
          <w:color w:val="404040"/>
          <w:sz w:val="21"/>
          <w:szCs w:val="21"/>
        </w:rPr>
      </w:pPr>
      <w:r>
        <w:rPr>
          <w:rFonts w:ascii="����" w:eastAsia="����" w:hAnsi="����" w:cs="����"/>
          <w:color w:val="404040"/>
          <w:sz w:val="21"/>
          <w:szCs w:val="21"/>
          <w:shd w:val="clear" w:color="auto" w:fill="FFFFFF"/>
        </w:rPr>
        <w:t>    </w:t>
      </w:r>
      <w:r>
        <w:rPr>
          <w:rFonts w:ascii="����" w:eastAsia="����" w:hAnsi="����" w:cs="����"/>
          <w:color w:val="404040"/>
          <w:sz w:val="21"/>
          <w:szCs w:val="21"/>
          <w:shd w:val="clear" w:color="auto" w:fill="FFFFFF"/>
        </w:rPr>
        <w:t>农药残留超标可能是由于种植户不合理科学的喷洒农药而造成的或由于急于上市获得更高的收益，导致安全间隔期过短而造成的。</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）腐霉利</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11</w:t>
      </w:r>
      <w:r>
        <w:rPr>
          <w:rFonts w:ascii="微软雅黑" w:eastAsia="微软雅黑" w:hAnsi="微软雅黑" w:cs="微软雅黑" w:hint="eastAsia"/>
          <w:color w:val="404040"/>
          <w:shd w:val="clear" w:color="auto" w:fill="FFFFFF"/>
        </w:rPr>
        <w:t>批次韭菜存在腐霉利不合格。腐霉利是一种低毒内吸性杀菌剂，主要是抑制菌体内甘油三酯的合成，具有保护和治疗的双重作用。主要用于蔬菜及果树的灰霉病防治。腐霉利超标的主要原因可能是种植过程中为控制病虫害超量使用或不遵循休药期规定。</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2</w:t>
      </w:r>
      <w:r>
        <w:rPr>
          <w:rFonts w:ascii="微软雅黑" w:eastAsia="微软雅黑" w:hAnsi="微软雅黑" w:cs="微软雅黑" w:hint="eastAsia"/>
          <w:color w:val="404040"/>
          <w:shd w:val="clear" w:color="auto" w:fill="FFFFFF"/>
        </w:rPr>
        <w:t>）克百威</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批次草莓和</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批次豇豆存在克百威不合格。克百威是一种氨基甲酸酯类杀虫、杀螨、杀线虫剂，并有一定的杀卵作用。克百威超标的主要原因可能是种植过程中为控制病虫害而违规使用</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3</w:t>
      </w: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氯苯氧乙酸钠</w:t>
      </w: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以</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氯苯氧乙酸计</w:t>
      </w:r>
      <w:r>
        <w:rPr>
          <w:rFonts w:ascii="微软雅黑" w:eastAsia="微软雅黑" w:hAnsi="微软雅黑" w:cs="微软雅黑" w:hint="eastAsia"/>
          <w:color w:val="404040"/>
          <w:shd w:val="clear" w:color="auto" w:fill="FFFFFF"/>
        </w:rPr>
        <w:t>)</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w:t>
      </w:r>
      <w:r>
        <w:rPr>
          <w:rFonts w:ascii="微软雅黑" w:eastAsia="微软雅黑" w:hAnsi="微软雅黑" w:cs="微软雅黑" w:hint="eastAsia"/>
          <w:color w:val="404040"/>
          <w:shd w:val="clear" w:color="auto" w:fill="FFFFFF"/>
        </w:rPr>
        <w:t>次豆芽存在</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氯苯氧乙酸钠</w:t>
      </w: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以</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氯苯氧乙酸计</w:t>
      </w: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不合格。</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氯苯氧乙酸钠是植物生长调节剂类农药，可以促进植物体内的生物合成和生物转移，不仅可防止落花落果、提高做果率、增进果实生长速度、促进提前成熟，还能达到改善植物品质之目的。《国家食品药品监督管理总局、农业部、国家卫生和计划生育委员会关于豆芽生产过程中禁止使用</w:t>
      </w:r>
      <w:r>
        <w:rPr>
          <w:rFonts w:ascii="微软雅黑" w:eastAsia="微软雅黑" w:hAnsi="微软雅黑" w:cs="微软雅黑" w:hint="eastAsia"/>
          <w:color w:val="404040"/>
          <w:shd w:val="clear" w:color="auto" w:fill="FFFFFF"/>
        </w:rPr>
        <w:t>6-</w:t>
      </w:r>
      <w:r>
        <w:rPr>
          <w:rFonts w:ascii="微软雅黑" w:eastAsia="微软雅黑" w:hAnsi="微软雅黑" w:cs="微软雅黑" w:hint="eastAsia"/>
          <w:color w:val="404040"/>
          <w:shd w:val="clear" w:color="auto" w:fill="FFFFFF"/>
        </w:rPr>
        <w:t>苄基腺嘌呤等物质的公告》（</w:t>
      </w:r>
      <w:r>
        <w:rPr>
          <w:rFonts w:ascii="微软雅黑" w:eastAsia="微软雅黑" w:hAnsi="微软雅黑" w:cs="微软雅黑" w:hint="eastAsia"/>
          <w:color w:val="404040"/>
          <w:shd w:val="clear" w:color="auto" w:fill="FFFFFF"/>
        </w:rPr>
        <w:t>2015</w:t>
      </w:r>
      <w:r>
        <w:rPr>
          <w:rFonts w:ascii="微软雅黑" w:eastAsia="微软雅黑" w:hAnsi="微软雅黑" w:cs="微软雅黑" w:hint="eastAsia"/>
          <w:color w:val="404040"/>
          <w:shd w:val="clear" w:color="auto" w:fill="FFFFFF"/>
        </w:rPr>
        <w:t>年第</w:t>
      </w:r>
      <w:r>
        <w:rPr>
          <w:rFonts w:ascii="微软雅黑" w:eastAsia="微软雅黑" w:hAnsi="微软雅黑" w:cs="微软雅黑" w:hint="eastAsia"/>
          <w:color w:val="404040"/>
          <w:shd w:val="clear" w:color="auto" w:fill="FFFFFF"/>
        </w:rPr>
        <w:t>11</w:t>
      </w:r>
      <w:r>
        <w:rPr>
          <w:rFonts w:ascii="微软雅黑" w:eastAsia="微软雅黑" w:hAnsi="微软雅黑" w:cs="微软雅黑" w:hint="eastAsia"/>
          <w:color w:val="404040"/>
          <w:shd w:val="clear" w:color="auto" w:fill="FFFFFF"/>
        </w:rPr>
        <w:t>号）中规定，豆芽生产经营中禁止使用</w:t>
      </w:r>
      <w:r>
        <w:rPr>
          <w:rFonts w:ascii="微软雅黑" w:eastAsia="微软雅黑" w:hAnsi="微软雅黑" w:cs="微软雅黑" w:hint="eastAsia"/>
          <w:color w:val="404040"/>
          <w:shd w:val="clear" w:color="auto" w:fill="FFFFFF"/>
        </w:rPr>
        <w:t>6-</w:t>
      </w:r>
      <w:r>
        <w:rPr>
          <w:rFonts w:ascii="微软雅黑" w:eastAsia="微软雅黑" w:hAnsi="微软雅黑" w:cs="微软雅黑" w:hint="eastAsia"/>
          <w:color w:val="404040"/>
          <w:shd w:val="clear" w:color="auto" w:fill="FFFFFF"/>
        </w:rPr>
        <w:t>苄基腺嘌呤、</w:t>
      </w:r>
      <w:r>
        <w:rPr>
          <w:rFonts w:ascii="微软雅黑" w:eastAsia="微软雅黑" w:hAnsi="微软雅黑" w:cs="微软雅黑" w:hint="eastAsia"/>
          <w:color w:val="404040"/>
          <w:shd w:val="clear" w:color="auto" w:fill="FFFFFF"/>
        </w:rPr>
        <w:lastRenderedPageBreak/>
        <w:t>4-</w:t>
      </w:r>
      <w:r>
        <w:rPr>
          <w:rFonts w:ascii="微软雅黑" w:eastAsia="微软雅黑" w:hAnsi="微软雅黑" w:cs="微软雅黑" w:hint="eastAsia"/>
          <w:color w:val="404040"/>
          <w:shd w:val="clear" w:color="auto" w:fill="FFFFFF"/>
        </w:rPr>
        <w:t>氯苯氧乙酸钠、赤霉素等物质。由于</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氯苯氧乙酸钠可减少豆芽根部萌发，加速细胞分裂，使豆芽更加肥嫩、粗</w:t>
      </w:r>
      <w:r>
        <w:rPr>
          <w:rFonts w:ascii="微软雅黑" w:eastAsia="微软雅黑" w:hAnsi="微软雅黑" w:cs="微软雅黑" w:hint="eastAsia"/>
          <w:color w:val="404040"/>
          <w:shd w:val="clear" w:color="auto" w:fill="FFFFFF"/>
        </w:rPr>
        <w:t>壮，提高豆芽的产量，仍有违规使用现象。</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4</w:t>
      </w:r>
      <w:r>
        <w:rPr>
          <w:rFonts w:ascii="微软雅黑" w:eastAsia="微软雅黑" w:hAnsi="微软雅黑" w:cs="微软雅黑" w:hint="eastAsia"/>
          <w:color w:val="404040"/>
          <w:shd w:val="clear" w:color="auto" w:fill="FFFFFF"/>
        </w:rPr>
        <w:t>）氟虫腈</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油麦菜存在氟虫腈不合格。氟虫腈是一种苯基吡唑类杀虫剂、杀虫谱广，对害虫以胃毒作用为主，兼有触杀和一定的内吸作用，对蚜虫、叶蝉、飞虱、鳞翅目幼虫、蝇类和鞘翅目等重要害虫有很高的杀虫活性。对环境极其不友好，对蜜蜂及水生生物毒性大，且在水和土壤中降解慢。自</w:t>
      </w:r>
      <w:r>
        <w:rPr>
          <w:rFonts w:ascii="微软雅黑" w:eastAsia="微软雅黑" w:hAnsi="微软雅黑" w:cs="微软雅黑" w:hint="eastAsia"/>
          <w:color w:val="404040"/>
          <w:shd w:val="clear" w:color="auto" w:fill="FFFFFF"/>
        </w:rPr>
        <w:t>2009</w:t>
      </w:r>
      <w:r>
        <w:rPr>
          <w:rFonts w:ascii="微软雅黑" w:eastAsia="微软雅黑" w:hAnsi="微软雅黑" w:cs="微软雅黑" w:hint="eastAsia"/>
          <w:color w:val="404040"/>
          <w:shd w:val="clear" w:color="auto" w:fill="FFFFFF"/>
        </w:rPr>
        <w:t>年</w:t>
      </w:r>
      <w:r>
        <w:rPr>
          <w:rFonts w:ascii="微软雅黑" w:eastAsia="微软雅黑" w:hAnsi="微软雅黑" w:cs="微软雅黑" w:hint="eastAsia"/>
          <w:color w:val="404040"/>
          <w:shd w:val="clear" w:color="auto" w:fill="FFFFFF"/>
        </w:rPr>
        <w:t>10</w:t>
      </w:r>
      <w:r>
        <w:rPr>
          <w:rFonts w:ascii="微软雅黑" w:eastAsia="微软雅黑" w:hAnsi="微软雅黑" w:cs="微软雅黑" w:hint="eastAsia"/>
          <w:color w:val="404040"/>
          <w:shd w:val="clear" w:color="auto" w:fill="FFFFFF"/>
        </w:rPr>
        <w:t>月</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日起，除卫生用、玉米等部分旱田种子包衣剂外，在我国境内停止销售和使用用于其他方面的含氟虫腈成分的农药制剂。</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5</w:t>
      </w:r>
      <w:r>
        <w:rPr>
          <w:rFonts w:ascii="微软雅黑" w:eastAsia="微软雅黑" w:hAnsi="微软雅黑" w:cs="微软雅黑" w:hint="eastAsia"/>
          <w:color w:val="404040"/>
          <w:shd w:val="clear" w:color="auto" w:fill="FFFFFF"/>
        </w:rPr>
        <w:t>）甲拌磷</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批次芹菜存在甲拌磷不合格</w:t>
      </w:r>
      <w:r>
        <w:rPr>
          <w:rFonts w:ascii="微软雅黑" w:eastAsia="微软雅黑" w:hAnsi="微软雅黑" w:cs="微软雅黑" w:hint="eastAsia"/>
          <w:color w:val="404040"/>
          <w:shd w:val="clear" w:color="auto" w:fill="FFFFFF"/>
        </w:rPr>
        <w:t>。甲拌磷是一种有机磷类广谱、内吸、高毒杀虫剂，对害虫具有触杀、胃毒、熏蒸作用。《食品安全国家标准</w:t>
      </w:r>
      <w:r>
        <w:rPr>
          <w:rFonts w:ascii="微软雅黑" w:eastAsia="微软雅黑" w:hAnsi="微软雅黑" w:cs="微软雅黑" w:hint="eastAsia"/>
          <w:color w:val="404040"/>
          <w:shd w:val="clear" w:color="auto" w:fill="FFFFFF"/>
        </w:rPr>
        <w:t xml:space="preserve"> </w:t>
      </w:r>
      <w:r>
        <w:rPr>
          <w:rFonts w:ascii="微软雅黑" w:eastAsia="微软雅黑" w:hAnsi="微软雅黑" w:cs="微软雅黑" w:hint="eastAsia"/>
          <w:color w:val="404040"/>
          <w:shd w:val="clear" w:color="auto" w:fill="FFFFFF"/>
        </w:rPr>
        <w:t>食品中农药最大残留限量》（</w:t>
      </w:r>
      <w:r>
        <w:rPr>
          <w:rFonts w:ascii="微软雅黑" w:eastAsia="微软雅黑" w:hAnsi="微软雅黑" w:cs="微软雅黑" w:hint="eastAsia"/>
          <w:color w:val="404040"/>
          <w:shd w:val="clear" w:color="auto" w:fill="FFFFFF"/>
        </w:rPr>
        <w:t>GB 2763-2019</w:t>
      </w:r>
      <w:r>
        <w:rPr>
          <w:rFonts w:ascii="微软雅黑" w:eastAsia="微软雅黑" w:hAnsi="微软雅黑" w:cs="微软雅黑" w:hint="eastAsia"/>
          <w:color w:val="404040"/>
          <w:shd w:val="clear" w:color="auto" w:fill="FFFFFF"/>
        </w:rPr>
        <w:t>）中规定，甲拌磷在蔬菜中的最大残留限量值为</w:t>
      </w:r>
      <w:r>
        <w:rPr>
          <w:rFonts w:ascii="微软雅黑" w:eastAsia="微软雅黑" w:hAnsi="微软雅黑" w:cs="微软雅黑" w:hint="eastAsia"/>
          <w:color w:val="404040"/>
          <w:shd w:val="clear" w:color="auto" w:fill="FFFFFF"/>
        </w:rPr>
        <w:t>0.01mg/kg</w:t>
      </w:r>
      <w:r>
        <w:rPr>
          <w:rFonts w:ascii="微软雅黑" w:eastAsia="微软雅黑" w:hAnsi="微软雅黑" w:cs="微软雅黑" w:hint="eastAsia"/>
          <w:color w:val="404040"/>
          <w:shd w:val="clear" w:color="auto" w:fill="FFFFFF"/>
        </w:rPr>
        <w:t>。</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6</w:t>
      </w:r>
      <w:r>
        <w:rPr>
          <w:rFonts w:ascii="微软雅黑" w:eastAsia="微软雅黑" w:hAnsi="微软雅黑" w:cs="微软雅黑" w:hint="eastAsia"/>
          <w:color w:val="404040"/>
          <w:shd w:val="clear" w:color="auto" w:fill="FFFFFF"/>
        </w:rPr>
        <w:t>）氧乐果</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批次菜豆存在氧乐果不合格。氧乐果为高毒、广谱有机磷类杀虫剂，具有内吸性强、杀虫活性高等特性，具有较强的内吸、触杀和一定的胃毒作用，对人、畜毒性高。</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2.</w:t>
      </w:r>
      <w:r>
        <w:rPr>
          <w:rFonts w:ascii="微软雅黑" w:eastAsia="微软雅黑" w:hAnsi="微软雅黑" w:cs="微软雅黑" w:hint="eastAsia"/>
          <w:color w:val="404040"/>
          <w:shd w:val="clear" w:color="auto" w:fill="FFFFFF"/>
        </w:rPr>
        <w:t>兽药残留</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兽药残留超标主要原因：一是此类兽药具有较好的抗菌与治疗疾病效果，养殖者违禁使用兽药；二是饲料生产者为提高</w:t>
      </w:r>
      <w:r>
        <w:rPr>
          <w:rFonts w:ascii="微软雅黑" w:eastAsia="微软雅黑" w:hAnsi="微软雅黑" w:cs="微软雅黑" w:hint="eastAsia"/>
          <w:color w:val="404040"/>
          <w:shd w:val="clear" w:color="auto" w:fill="FFFFFF"/>
        </w:rPr>
        <w:t>产品的市场竞争力，在饲料中违法</w:t>
      </w:r>
      <w:r>
        <w:rPr>
          <w:rFonts w:ascii="微软雅黑" w:eastAsia="微软雅黑" w:hAnsi="微软雅黑" w:cs="微软雅黑" w:hint="eastAsia"/>
          <w:color w:val="404040"/>
          <w:shd w:val="clear" w:color="auto" w:fill="FFFFFF"/>
        </w:rPr>
        <w:lastRenderedPageBreak/>
        <w:t>添加兽药；三是养殖户缺乏相关兽药使用的理论基础，对于禁用兽药品类不明确，为提高存活率、追求利益，乱用兽药。</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）地西泮</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批次淡水鱼存在地西泮不合格。地西泮又名安定，是镇静类药物，具有镇静、催眠、抗焦虑等作用。《食品安全国家标准</w:t>
      </w:r>
      <w:r>
        <w:rPr>
          <w:rFonts w:ascii="微软雅黑" w:eastAsia="微软雅黑" w:hAnsi="微软雅黑" w:cs="微软雅黑" w:hint="eastAsia"/>
          <w:color w:val="404040"/>
          <w:shd w:val="clear" w:color="auto" w:fill="FFFFFF"/>
        </w:rPr>
        <w:t xml:space="preserve"> </w:t>
      </w:r>
      <w:r>
        <w:rPr>
          <w:rFonts w:ascii="微软雅黑" w:eastAsia="微软雅黑" w:hAnsi="微软雅黑" w:cs="微软雅黑" w:hint="eastAsia"/>
          <w:color w:val="404040"/>
          <w:shd w:val="clear" w:color="auto" w:fill="FFFFFF"/>
        </w:rPr>
        <w:t>食品中兽药最大残留限量》</w:t>
      </w:r>
      <w:r>
        <w:rPr>
          <w:rFonts w:ascii="微软雅黑" w:eastAsia="微软雅黑" w:hAnsi="微软雅黑" w:cs="微软雅黑" w:hint="eastAsia"/>
          <w:color w:val="404040"/>
          <w:shd w:val="clear" w:color="auto" w:fill="FFFFFF"/>
        </w:rPr>
        <w:t>(GB 31650-2019)</w:t>
      </w:r>
      <w:r>
        <w:rPr>
          <w:rFonts w:ascii="微软雅黑" w:eastAsia="微软雅黑" w:hAnsi="微软雅黑" w:cs="微软雅黑" w:hint="eastAsia"/>
          <w:color w:val="404040"/>
          <w:shd w:val="clear" w:color="auto" w:fill="FFFFFF"/>
        </w:rPr>
        <w:t>中规定，地西泮在动物性食品中不得检出。</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w:t>
      </w:r>
      <w:r>
        <w:rPr>
          <w:rFonts w:ascii="微软雅黑" w:eastAsia="微软雅黑" w:hAnsi="微软雅黑" w:cs="微软雅黑" w:hint="eastAsia"/>
          <w:color w:val="404040"/>
          <w:shd w:val="clear" w:color="auto" w:fill="FFFFFF"/>
        </w:rPr>
        <w:t>2</w:t>
      </w:r>
      <w:r>
        <w:rPr>
          <w:rFonts w:ascii="微软雅黑" w:eastAsia="微软雅黑" w:hAnsi="微软雅黑" w:cs="微软雅黑" w:hint="eastAsia"/>
          <w:color w:val="404040"/>
          <w:shd w:val="clear" w:color="auto" w:fill="FFFFFF"/>
        </w:rPr>
        <w:t>）地塞米松</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牛肉存在地塞米松不合格。地塞米松是糖皮质类激素，其药理作用主要是抗炎、抗毒、抗过敏、抗风湿，养殖环节用药管理不严或者不科学，超量使用或没有严格执行休药期将造成地塞米松残留超标人们长期食用含低剂量地塞米松的动物性食品，可能会在人体内蓄积，干扰人体的激素分泌体系和其它正常代谢。</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3.</w:t>
      </w:r>
      <w:r>
        <w:rPr>
          <w:rFonts w:ascii="微软雅黑" w:eastAsia="微软雅黑" w:hAnsi="微软雅黑" w:cs="微软雅黑" w:hint="eastAsia"/>
          <w:color w:val="404040"/>
          <w:shd w:val="clear" w:color="auto" w:fill="FFFFFF"/>
        </w:rPr>
        <w:t>重金属</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镉</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本次抽检样品中发现</w:t>
      </w:r>
      <w:r>
        <w:rPr>
          <w:rFonts w:ascii="微软雅黑" w:eastAsia="微软雅黑" w:hAnsi="微软雅黑" w:cs="微软雅黑" w:hint="eastAsia"/>
          <w:color w:val="404040"/>
          <w:shd w:val="clear" w:color="auto" w:fill="FFFFFF"/>
        </w:rPr>
        <w:t>1</w:t>
      </w:r>
      <w:r>
        <w:rPr>
          <w:rFonts w:ascii="微软雅黑" w:eastAsia="微软雅黑" w:hAnsi="微软雅黑" w:cs="微软雅黑" w:hint="eastAsia"/>
          <w:color w:val="404040"/>
          <w:shd w:val="clear" w:color="auto" w:fill="FFFFFF"/>
        </w:rPr>
        <w:t>批次海水蟹存在镉不合格。镉是一种常见的环境污染物，对人体的危害主要是慢性蓄积性，长期暴露可导致肾和骨骼损伤，充足的营养摄入会部分削弱镉的健康危害。镉超标原因为可能通过矿山开采、工业污染或农产品应用（如肥料）释放入环境中，植物性食品、水产品和动物性食品的内脏更易富集。</w:t>
      </w:r>
    </w:p>
    <w:p w:rsidR="003364EF" w:rsidRDefault="009C0C61">
      <w:pPr>
        <w:pStyle w:val="a3"/>
        <w:widowControl/>
        <w:shd w:val="clear" w:color="auto" w:fill="FFFFFF"/>
        <w:spacing w:beforeAutospacing="0" w:afterAutospacing="0" w:line="630" w:lineRule="atLeast"/>
        <w:ind w:firstLine="648"/>
        <w:rPr>
          <w:rFonts w:ascii="����" w:eastAsia="����" w:hAnsi="����" w:cs="����"/>
          <w:color w:val="404040"/>
          <w:sz w:val="21"/>
          <w:szCs w:val="21"/>
        </w:rPr>
      </w:pPr>
      <w:r>
        <w:rPr>
          <w:rStyle w:val="a4"/>
          <w:rFonts w:ascii="微软雅黑" w:eastAsia="微软雅黑" w:hAnsi="微软雅黑" w:cs="微软雅黑" w:hint="eastAsia"/>
          <w:color w:val="404040"/>
          <w:shd w:val="clear" w:color="auto" w:fill="FFFFFF"/>
        </w:rPr>
        <w:t>（二）风险分析结论</w:t>
      </w:r>
    </w:p>
    <w:p w:rsidR="003364EF" w:rsidRDefault="009C0C61">
      <w:pPr>
        <w:pStyle w:val="a3"/>
        <w:widowControl/>
        <w:shd w:val="clear" w:color="auto" w:fill="FFFFFF"/>
        <w:spacing w:beforeAutospacing="0" w:afterAutospacing="0" w:line="630" w:lineRule="atLeast"/>
        <w:ind w:firstLine="634"/>
        <w:rPr>
          <w:rFonts w:ascii="����" w:eastAsia="����" w:hAnsi="����" w:cs="����"/>
          <w:color w:val="404040"/>
          <w:sz w:val="21"/>
          <w:szCs w:val="21"/>
        </w:rPr>
      </w:pPr>
      <w:r>
        <w:rPr>
          <w:rFonts w:ascii="微软雅黑" w:eastAsia="微软雅黑" w:hAnsi="微软雅黑" w:cs="微软雅黑" w:hint="eastAsia"/>
          <w:color w:val="404040"/>
          <w:shd w:val="clear" w:color="auto" w:fill="FFFFFF"/>
        </w:rPr>
        <w:t>本次抽检结果反应出全市食用农产品中的高风险产品类别和高风险项目，如韭菜中的腐霉利、豇豆和草莓中的克百威、淡水鱼中的地西泮等。这些产品类</w:t>
      </w:r>
      <w:r>
        <w:rPr>
          <w:rFonts w:ascii="微软雅黑" w:eastAsia="微软雅黑" w:hAnsi="微软雅黑" w:cs="微软雅黑" w:hint="eastAsia"/>
          <w:color w:val="404040"/>
          <w:shd w:val="clear" w:color="auto" w:fill="FFFFFF"/>
        </w:rPr>
        <w:lastRenderedPageBreak/>
        <w:t>别消费范围广，影响范围大，特提出以下建议：</w:t>
      </w:r>
      <w:r>
        <w:rPr>
          <w:rStyle w:val="a4"/>
          <w:rFonts w:ascii="微软雅黑" w:eastAsia="微软雅黑" w:hAnsi="微软雅黑" w:cs="微软雅黑" w:hint="eastAsia"/>
          <w:color w:val="404040"/>
          <w:shd w:val="clear" w:color="auto" w:fill="FFFFFF"/>
        </w:rPr>
        <w:t>一是加强对高风险产品和高风险</w:t>
      </w:r>
      <w:r>
        <w:rPr>
          <w:rStyle w:val="a4"/>
          <w:rFonts w:ascii="微软雅黑" w:eastAsia="微软雅黑" w:hAnsi="微软雅黑" w:cs="微软雅黑" w:hint="eastAsia"/>
          <w:color w:val="404040"/>
          <w:shd w:val="clear" w:color="auto" w:fill="FFFFFF"/>
        </w:rPr>
        <w:t>项目的抽检力度。</w:t>
      </w:r>
      <w:r>
        <w:rPr>
          <w:rFonts w:ascii="微软雅黑" w:eastAsia="微软雅黑" w:hAnsi="微软雅黑" w:cs="微软雅黑" w:hint="eastAsia"/>
          <w:color w:val="404040"/>
          <w:shd w:val="clear" w:color="auto" w:fill="FFFFFF"/>
        </w:rPr>
        <w:t>制定</w:t>
      </w:r>
      <w:r>
        <w:rPr>
          <w:rFonts w:ascii="微软雅黑" w:eastAsia="微软雅黑" w:hAnsi="微软雅黑" w:cs="微软雅黑" w:hint="eastAsia"/>
          <w:color w:val="404040"/>
          <w:shd w:val="clear" w:color="auto" w:fill="FFFFFF"/>
        </w:rPr>
        <w:t>2021</w:t>
      </w:r>
      <w:r>
        <w:rPr>
          <w:rFonts w:ascii="微软雅黑" w:eastAsia="微软雅黑" w:hAnsi="微软雅黑" w:cs="微软雅黑" w:hint="eastAsia"/>
          <w:color w:val="404040"/>
          <w:shd w:val="clear" w:color="auto" w:fill="FFFFFF"/>
        </w:rPr>
        <w:t>年度监督抽检计划时，应充分结合本次抽检发现的高风险产品和高风险项目，加大抽检频次和力度。</w:t>
      </w:r>
      <w:r>
        <w:rPr>
          <w:rStyle w:val="a4"/>
          <w:rFonts w:ascii="微软雅黑" w:eastAsia="微软雅黑" w:hAnsi="微软雅黑" w:cs="微软雅黑" w:hint="eastAsia"/>
          <w:color w:val="404040"/>
          <w:shd w:val="clear" w:color="auto" w:fill="FFFFFF"/>
        </w:rPr>
        <w:t>二是加强对快检的利用。</w:t>
      </w:r>
      <w:r>
        <w:rPr>
          <w:rFonts w:ascii="微软雅黑" w:eastAsia="微软雅黑" w:hAnsi="微软雅黑" w:cs="微软雅黑" w:hint="eastAsia"/>
          <w:color w:val="404040"/>
          <w:shd w:val="clear" w:color="auto" w:fill="FFFFFF"/>
        </w:rPr>
        <w:t>常规的食用农产品检测周期一般为</w:t>
      </w:r>
      <w:r>
        <w:rPr>
          <w:rFonts w:ascii="微软雅黑" w:eastAsia="微软雅黑" w:hAnsi="微软雅黑" w:cs="微软雅黑" w:hint="eastAsia"/>
          <w:color w:val="404040"/>
          <w:shd w:val="clear" w:color="auto" w:fill="FFFFFF"/>
        </w:rPr>
        <w:t>7-10</w:t>
      </w:r>
      <w:r>
        <w:rPr>
          <w:rFonts w:ascii="微软雅黑" w:eastAsia="微软雅黑" w:hAnsi="微软雅黑" w:cs="微软雅黑" w:hint="eastAsia"/>
          <w:color w:val="404040"/>
          <w:shd w:val="clear" w:color="auto" w:fill="FFFFFF"/>
        </w:rPr>
        <w:t>个工作日，虽可准确反映产品的质量安全，但周期较长，往往检测结论还未得出，产品已被消费者食用。建议加大大型商超、农贸市场、批发市场等快检设备的配备和投入使用力度，利用快检检测周期短、检测成本低、技术操作要求低等特点，有效弥补常规抽检的弊端。</w:t>
      </w:r>
      <w:r>
        <w:rPr>
          <w:rStyle w:val="a4"/>
          <w:rFonts w:ascii="微软雅黑" w:eastAsia="微软雅黑" w:hAnsi="微软雅黑" w:cs="微软雅黑" w:hint="eastAsia"/>
          <w:color w:val="404040"/>
          <w:shd w:val="clear" w:color="auto" w:fill="FFFFFF"/>
        </w:rPr>
        <w:t>三是加强食用农产品经营者索证索票意识。</w:t>
      </w:r>
      <w:r>
        <w:rPr>
          <w:rFonts w:ascii="微软雅黑" w:eastAsia="微软雅黑" w:hAnsi="微软雅黑" w:cs="微软雅黑" w:hint="eastAsia"/>
          <w:color w:val="404040"/>
          <w:shd w:val="clear" w:color="auto" w:fill="FFFFFF"/>
        </w:rPr>
        <w:t>在本次抽检中发现，一些食用农产品经营者在购进畜禽肉及副产品时</w:t>
      </w:r>
      <w:r>
        <w:rPr>
          <w:rFonts w:ascii="微软雅黑" w:eastAsia="微软雅黑" w:hAnsi="微软雅黑" w:cs="微软雅黑" w:hint="eastAsia"/>
          <w:color w:val="404040"/>
          <w:shd w:val="clear" w:color="auto" w:fill="FFFFFF"/>
        </w:rPr>
        <w:t>索证索票意识薄弱，对产品追溯的重要性认识不够。建议市县监管部门加强宣传和监管力度，提高食用农产品抽检追溯工有效性。（食品抽检科）</w:t>
      </w:r>
      <w:bookmarkStart w:id="0" w:name="_GoBack"/>
      <w:bookmarkEnd w:id="0"/>
    </w:p>
    <w:p w:rsidR="003364EF" w:rsidRDefault="003364EF">
      <w:pPr>
        <w:pStyle w:val="a3"/>
        <w:widowControl/>
        <w:shd w:val="clear" w:color="auto" w:fill="FFFFFF"/>
        <w:spacing w:beforeAutospacing="0" w:afterAutospacing="0" w:line="630" w:lineRule="atLeast"/>
        <w:rPr>
          <w:rFonts w:ascii="����" w:eastAsia="宋体" w:hAnsi="����" w:cs="����" w:hint="eastAsia"/>
          <w:color w:val="666666"/>
          <w:sz w:val="21"/>
          <w:szCs w:val="21"/>
          <w:shd w:val="clear" w:color="auto" w:fill="FFFFFF"/>
        </w:rPr>
      </w:pPr>
    </w:p>
    <w:sectPr w:rsidR="003364EF" w:rsidSect="003364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F50521D"/>
    <w:rsid w:val="003364EF"/>
    <w:rsid w:val="006814CA"/>
    <w:rsid w:val="009C0C61"/>
    <w:rsid w:val="1F505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4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64EF"/>
    <w:pPr>
      <w:spacing w:beforeAutospacing="1" w:afterAutospacing="1"/>
      <w:jc w:val="left"/>
    </w:pPr>
    <w:rPr>
      <w:rFonts w:cs="Times New Roman"/>
      <w:kern w:val="0"/>
      <w:sz w:val="24"/>
    </w:rPr>
  </w:style>
  <w:style w:type="character" w:styleId="a4">
    <w:name w:val="Strong"/>
    <w:basedOn w:val="a0"/>
    <w:qFormat/>
    <w:rsid w:val="003364EF"/>
    <w:rPr>
      <w:b/>
    </w:rPr>
  </w:style>
  <w:style w:type="paragraph" w:styleId="a5">
    <w:name w:val="Balloon Text"/>
    <w:basedOn w:val="a"/>
    <w:link w:val="Char"/>
    <w:rsid w:val="006814CA"/>
    <w:rPr>
      <w:sz w:val="18"/>
      <w:szCs w:val="18"/>
    </w:rPr>
  </w:style>
  <w:style w:type="character" w:customStyle="1" w:styleId="Char">
    <w:name w:val="批注框文本 Char"/>
    <w:basedOn w:val="a0"/>
    <w:link w:val="a5"/>
    <w:rsid w:val="006814C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3148</Words>
  <Characters>554</Characters>
  <Application>Microsoft Office Word</Application>
  <DocSecurity>0</DocSecurity>
  <Lines>4</Lines>
  <Paragraphs>7</Paragraphs>
  <ScaleCrop>false</ScaleCrop>
  <Company>Sky123.Org</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思橙</dc:creator>
  <cp:lastModifiedBy>Sky123.Org</cp:lastModifiedBy>
  <cp:revision>3</cp:revision>
  <dcterms:created xsi:type="dcterms:W3CDTF">2021-03-12T01:44:00Z</dcterms:created>
  <dcterms:modified xsi:type="dcterms:W3CDTF">2021-03-12T02:14:00Z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